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3F45" w14:textId="77777777" w:rsidR="006E7318" w:rsidRPr="00CF4E3A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CF4E3A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14:paraId="3C9105AB" w14:textId="77777777" w:rsidR="006E7318" w:rsidRPr="00CF4E3A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14:paraId="7C34A7BC" w14:textId="2225B44D" w:rsidR="00CF4E3A" w:rsidRPr="00CF4E3A" w:rsidRDefault="00CF4E3A" w:rsidP="00CF4E3A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CF4E3A">
        <w:rPr>
          <w:rFonts w:ascii="Cambria" w:eastAsia="Arial" w:hAnsi="Cambria" w:cs="Times New Roman"/>
          <w:color w:val="00000A"/>
          <w:sz w:val="22"/>
          <w:shd w:val="clear" w:color="auto" w:fill="FFFFFF"/>
        </w:rPr>
        <w:t>k výběrovém řízení s</w:t>
      </w:r>
      <w:r w:rsidRPr="00CF4E3A">
        <w:rPr>
          <w:rFonts w:ascii="Cambria" w:eastAsia="Arial" w:hAnsi="Cambria" w:cs="Times New Roman"/>
          <w:color w:val="00000A"/>
          <w:sz w:val="22"/>
          <w:shd w:val="clear" w:color="auto" w:fill="FFFFFF"/>
        </w:rPr>
        <w:t> </w:t>
      </w:r>
      <w:r w:rsidRPr="00CF4E3A">
        <w:rPr>
          <w:rFonts w:ascii="Cambria" w:eastAsia="Arial" w:hAnsi="Cambria" w:cs="Times New Roman"/>
          <w:color w:val="00000A"/>
          <w:sz w:val="22"/>
          <w:shd w:val="clear" w:color="auto" w:fill="FFFFFF"/>
        </w:rPr>
        <w:t>názvem</w:t>
      </w:r>
      <w:r w:rsidRPr="00CF4E3A">
        <w:rPr>
          <w:rFonts w:ascii="Cambria" w:eastAsia="Arial" w:hAnsi="Cambria" w:cs="Times New Roman"/>
          <w:color w:val="00000A"/>
          <w:sz w:val="22"/>
          <w:shd w:val="clear" w:color="auto" w:fill="FFFFFF"/>
        </w:rPr>
        <w:t>:</w:t>
      </w:r>
    </w:p>
    <w:p w14:paraId="22935587" w14:textId="77777777" w:rsidR="00B36931" w:rsidRPr="00CF4E3A" w:rsidRDefault="00B36931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14:paraId="0944DECF" w14:textId="77777777" w:rsidR="00902628" w:rsidRPr="00CF4E3A" w:rsidRDefault="00902628" w:rsidP="00902628">
      <w:pPr>
        <w:pStyle w:val="Standard"/>
        <w:spacing w:line="276" w:lineRule="exact"/>
        <w:ind w:left="-709"/>
        <w:jc w:val="center"/>
        <w:rPr>
          <w:rFonts w:ascii="Cambria" w:eastAsia="Arial" w:hAnsi="Cambria" w:cs="Times New Roman"/>
          <w:b/>
          <w:i/>
          <w:shd w:val="clear" w:color="auto" w:fill="FFFFFF"/>
        </w:rPr>
      </w:pPr>
      <w:r w:rsidRPr="00CF4E3A">
        <w:rPr>
          <w:rFonts w:ascii="Cambria" w:eastAsia="Arial" w:hAnsi="Cambria" w:cs="Times New Roman"/>
          <w:b/>
          <w:i/>
          <w:shd w:val="clear" w:color="auto" w:fill="FFFFFF"/>
        </w:rPr>
        <w:t>„Rozšíření výzkumných a vývojových kapacit ve společnosti Dinel, s.r.o. – část 2 – Simulační software pro PCB“</w:t>
      </w:r>
    </w:p>
    <w:p w14:paraId="37680EFF" w14:textId="77777777" w:rsidR="00B36931" w:rsidRPr="00CF4E3A" w:rsidRDefault="00B36931" w:rsidP="004F5114">
      <w:pPr>
        <w:pStyle w:val="Standard"/>
        <w:tabs>
          <w:tab w:val="left" w:pos="5241"/>
        </w:tabs>
        <w:spacing w:line="276" w:lineRule="exact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405"/>
        <w:gridCol w:w="567"/>
        <w:gridCol w:w="1417"/>
        <w:gridCol w:w="2944"/>
      </w:tblGrid>
      <w:tr w:rsidR="006E7318" w:rsidRPr="00CF4E3A" w14:paraId="544BDC8E" w14:textId="77777777" w:rsidTr="00CF4E3A">
        <w:trPr>
          <w:cantSplit/>
          <w:trHeight w:val="817"/>
        </w:trPr>
        <w:tc>
          <w:tcPr>
            <w:tcW w:w="9967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E141A90" w14:textId="77777777" w:rsidR="006E7318" w:rsidRPr="00CF4E3A" w:rsidRDefault="00CD4D5D" w:rsidP="003D6F05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z w:val="28"/>
                <w:szCs w:val="32"/>
              </w:rPr>
            </w:pPr>
            <w:r w:rsidRPr="00CF4E3A">
              <w:rPr>
                <w:rFonts w:ascii="Cambria" w:hAnsi="Cambria"/>
                <w:b/>
                <w:caps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Simulační software pro pcb</w:t>
            </w:r>
          </w:p>
        </w:tc>
      </w:tr>
      <w:tr w:rsidR="006E7318" w:rsidRPr="00CF4E3A" w14:paraId="389D0AB4" w14:textId="77777777" w:rsidTr="00CF4E3A">
        <w:trPr>
          <w:cantSplit/>
          <w:trHeight w:val="814"/>
        </w:trPr>
        <w:tc>
          <w:tcPr>
            <w:tcW w:w="503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D59100B" w14:textId="77777777" w:rsidR="005366F0" w:rsidRPr="00CF4E3A" w:rsidRDefault="00124232" w:rsidP="00CF4E3A">
            <w:pPr>
              <w:pStyle w:val="Standard"/>
              <w:ind w:left="50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CF4E3A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492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CC97BBE" w14:textId="77777777" w:rsidR="00B36931" w:rsidRPr="00CF4E3A" w:rsidRDefault="00FB1BD3" w:rsidP="00902628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CF4E3A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CF4E3A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CF4E3A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CF4E3A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E7318" w:rsidRPr="00CF4E3A" w14:paraId="7488E488" w14:textId="77777777" w:rsidTr="00CF4E3A">
        <w:trPr>
          <w:cantSplit/>
          <w:trHeight w:val="50"/>
        </w:trPr>
        <w:tc>
          <w:tcPr>
            <w:tcW w:w="5606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BB07DB1" w14:textId="77777777" w:rsidR="006E7318" w:rsidRPr="00CF4E3A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CF4E3A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CD2FB7E" w14:textId="77777777" w:rsidR="006E7318" w:rsidRPr="00CF4E3A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CF4E3A"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294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506E4EC" w14:textId="77777777" w:rsidR="006E7318" w:rsidRPr="00CF4E3A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CF4E3A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5366F0" w:rsidRPr="00CF4E3A" w14:paraId="5CAF015A" w14:textId="77777777" w:rsidTr="00B43CB7">
        <w:trPr>
          <w:cantSplit/>
          <w:trHeight w:val="250"/>
        </w:trPr>
        <w:tc>
          <w:tcPr>
            <w:tcW w:w="9967" w:type="dxa"/>
            <w:gridSpan w:val="5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DAEEF3" w:themeFill="accent5" w:themeFillTint="33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5C1F3B3" w14:textId="77777777" w:rsidR="005366F0" w:rsidRPr="00CF4E3A" w:rsidRDefault="005366F0" w:rsidP="00CF4E3A">
            <w:pPr>
              <w:pStyle w:val="Standard"/>
              <w:spacing w:before="60" w:after="60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CF4E3A">
              <w:rPr>
                <w:rFonts w:ascii="Cambria" w:hAnsi="Cambria"/>
                <w:b/>
                <w:bCs/>
                <w:sz w:val="22"/>
                <w:szCs w:val="28"/>
              </w:rPr>
              <w:t>Základní prostředí pro simulace mikrovlnných obvodů</w:t>
            </w:r>
          </w:p>
        </w:tc>
      </w:tr>
      <w:tr w:rsidR="00E41D8B" w:rsidRPr="00CF4E3A" w14:paraId="131F275D" w14:textId="77777777" w:rsidTr="00CF4E3A">
        <w:trPr>
          <w:cantSplit/>
          <w:trHeight w:val="456"/>
        </w:trPr>
        <w:tc>
          <w:tcPr>
            <w:tcW w:w="5606" w:type="dxa"/>
            <w:gridSpan w:val="3"/>
            <w:tcBorders>
              <w:top w:val="single" w:sz="4" w:space="0" w:color="auto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0D3C60B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Import a správa dat z CAD systému Solid Edge, SolidWorks a AutoCAD.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7616080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DBFD370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215506A7" w14:textId="77777777" w:rsidTr="00CF4E3A">
        <w:trPr>
          <w:cantSplit/>
          <w:trHeight w:val="456"/>
        </w:trPr>
        <w:tc>
          <w:tcPr>
            <w:tcW w:w="5606" w:type="dxa"/>
            <w:gridSpan w:val="3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D35CCB0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importu ECAD dat z Cadence, Mentor, Zuken, Eagle, Altium.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3FA54BB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59146C7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5E379684" w14:textId="77777777" w:rsidTr="00CF4E3A">
        <w:trPr>
          <w:cantSplit/>
          <w:trHeight w:val="456"/>
        </w:trPr>
        <w:tc>
          <w:tcPr>
            <w:tcW w:w="5606" w:type="dxa"/>
            <w:gridSpan w:val="3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5ECFDA6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Otevírání datových formátů: Parasolid, STEP, STL a DXF.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FCB9FFE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1C5D98C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28158060" w14:textId="77777777" w:rsidTr="00CF4E3A">
        <w:trPr>
          <w:cantSplit/>
          <w:trHeight w:val="612"/>
        </w:trPr>
        <w:tc>
          <w:tcPr>
            <w:tcW w:w="5606" w:type="dxa"/>
            <w:gridSpan w:val="3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5962ACF" w14:textId="543B9429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instalace pod 64-bit op. systémem Windows a Linux.</w:t>
            </w:r>
            <w:r w:rsidR="0006759E">
              <w:rPr>
                <w:rFonts w:ascii="Cambria" w:hAnsi="Cambria" w:cs="Times New Roman"/>
              </w:rPr>
              <w:t xml:space="preserve"> </w:t>
            </w:r>
            <w:r w:rsidR="0006759E">
              <w:rPr>
                <w:rFonts w:ascii="Cambria" w:hAnsi="Cambria" w:cs="LiberationSerif"/>
                <w:sz w:val="22"/>
              </w:rPr>
              <w:t>(</w:t>
            </w:r>
            <w:r w:rsidR="0006759E" w:rsidRPr="005754B2">
              <w:rPr>
                <w:rFonts w:ascii="Cambria" w:hAnsi="Cambria" w:cs="LiberationSerif"/>
                <w:i/>
                <w:iCs/>
                <w:sz w:val="22"/>
              </w:rPr>
              <w:t>nebo jiné adekvátní řešení</w:t>
            </w:r>
            <w:r w:rsidR="0006759E">
              <w:rPr>
                <w:rFonts w:ascii="Cambria" w:hAnsi="Cambria" w:cs="LiberationSerif"/>
                <w:sz w:val="22"/>
              </w:rPr>
              <w:t>)</w:t>
            </w:r>
            <w:r w:rsidR="0006759E">
              <w:rPr>
                <w:rFonts w:ascii="Cambria" w:hAnsi="Cambria" w:cs="LiberationSerif"/>
                <w:sz w:val="22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CF50D68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0103031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7590B9C0" w14:textId="77777777" w:rsidTr="00CF4E3A">
        <w:trPr>
          <w:trHeight w:val="353"/>
        </w:trPr>
        <w:tc>
          <w:tcPr>
            <w:tcW w:w="5606" w:type="dxa"/>
            <w:gridSpan w:val="3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BEA9BAB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Preprocesor pro přípravu prostorových geometrických modelů plně integrovaného do jednotného uživatelského prostředí umožňující parametrizaci modelu pro spouštění variantních úloh.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262E32F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6B269C7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0D7A121D" w14:textId="77777777" w:rsidTr="00CF4E3A">
        <w:trPr>
          <w:trHeight w:val="550"/>
        </w:trPr>
        <w:tc>
          <w:tcPr>
            <w:tcW w:w="5606" w:type="dxa"/>
            <w:gridSpan w:val="3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C32FF5F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Schopnost automatizace časově náročných úloh.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B7BCCD5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76DE1BE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26566A32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F159F14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rozšíření o řešení výpočtů na připraveném cloudu s odesláním úlohy přímo z programu.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B84931E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80C9900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06E92480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C34C7CB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dočasně rozšířit licence o licenční kredity.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FE1A975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F2EF13A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306CE8EA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92A0197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Paralelizace výpočetních úloh na 4 procesorová jádra v základu s možností budoucího rozšíření.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B8BD573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E885D37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shd w:val="clear" w:color="auto" w:fill="FFFFFF"/>
              </w:rPr>
            </w:pPr>
          </w:p>
        </w:tc>
      </w:tr>
      <w:tr w:rsidR="00E41D8B" w:rsidRPr="00CF4E3A" w14:paraId="76C733FE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D301BFE" w14:textId="77777777" w:rsidR="00E41D8B" w:rsidRPr="00CF4E3A" w:rsidRDefault="00E41D8B" w:rsidP="00CF4E3A">
            <w:pPr>
              <w:spacing w:before="60" w:after="60"/>
              <w:ind w:left="191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Plná kompatibilita preprocesoru a postprocesoru se zvoleným řešičem.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9AEC7F3" w14:textId="77777777" w:rsidR="00E41D8B" w:rsidRPr="00CF4E3A" w:rsidRDefault="00E41D8B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1398599" w14:textId="77777777" w:rsidR="00E41D8B" w:rsidRPr="00CF4E3A" w:rsidRDefault="00E41D8B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28A36EB5" w14:textId="77777777" w:rsidTr="00CF4E3A">
        <w:trPr>
          <w:trHeight w:val="456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B999CB4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42A7FCAD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1810A16F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19573FEA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66F8FF26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25F2E04E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51102317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08C75B75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6CBEAD29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7F26428A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44EE3F72" w14:textId="77777777" w:rsidR="00CF4E3A" w:rsidRPr="00CF4E3A" w:rsidRDefault="00CF4E3A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  <w:b/>
                <w:bCs/>
              </w:rPr>
            </w:pPr>
          </w:p>
          <w:p w14:paraId="53228950" w14:textId="79D39453" w:rsidR="00FE6B87" w:rsidRPr="00CF4E3A" w:rsidRDefault="0036045B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191"/>
              <w:textAlignment w:val="auto"/>
              <w:rPr>
                <w:rFonts w:ascii="Cambria" w:hAnsi="Cambria" w:cs="Times New Roman"/>
                <w:b/>
                <w:bCs/>
              </w:rPr>
            </w:pPr>
            <w:r w:rsidRPr="00CF4E3A">
              <w:rPr>
                <w:rFonts w:ascii="Cambria" w:hAnsi="Cambria" w:cs="Times New Roman"/>
                <w:b/>
                <w:bCs/>
              </w:rPr>
              <w:t>Požadované</w:t>
            </w:r>
            <w:r w:rsidR="00D86E39" w:rsidRPr="00CF4E3A">
              <w:rPr>
                <w:rFonts w:ascii="Cambria" w:hAnsi="Cambria" w:cs="Times New Roman"/>
                <w:b/>
                <w:bCs/>
              </w:rPr>
              <w:br/>
            </w:r>
            <w:r w:rsidRPr="00CF4E3A">
              <w:rPr>
                <w:rFonts w:ascii="Cambria" w:hAnsi="Cambria" w:cs="Times New Roman"/>
                <w:b/>
                <w:bCs/>
              </w:rPr>
              <w:t xml:space="preserve">typy      </w:t>
            </w:r>
            <w:r w:rsidR="00D86E39" w:rsidRPr="00CF4E3A">
              <w:rPr>
                <w:rFonts w:ascii="Cambria" w:hAnsi="Cambria" w:cs="Times New Roman"/>
                <w:b/>
                <w:bCs/>
              </w:rPr>
              <w:br/>
            </w:r>
            <w:r w:rsidRPr="00CF4E3A">
              <w:rPr>
                <w:rFonts w:ascii="Cambria" w:hAnsi="Cambria" w:cs="Times New Roman"/>
                <w:b/>
                <w:bCs/>
              </w:rPr>
              <w:t>analýz:</w:t>
            </w: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FAAD95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lastRenderedPageBreak/>
              <w:t>simulace vysokofrekvenčního elmag. pole na úrovni 3D a PCB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1E22012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AF51E97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528FC009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0DAE64E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1FBEE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frekvenční a časový FEM řešič, MoM řešič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4EA98C7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F3D06E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1C9EF0D6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FC6FC52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CADAF0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modul pro automatický návrh 3D i planárních anténních struktur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43DFA7C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8BF43F5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6B7AABBF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88A0BA0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ECB05A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automatický návrh planárních filtrů na základě topologie a výsledných parametrů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D361B26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FBC7253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32D65F72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C1BB72B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4EE555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rozdělení komplexního modelu na jednodušší submodely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3C0B942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38FE87A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0393D94A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5186B0F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D005B3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práce s předdefinovanými komponenty s možností vytvoření vlastních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B778967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3DF2B7A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727E0BD5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A03A9EC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9AABDC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definice nezávislých regionů pro akceleraci síťovacího a výpočetního procesu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DBFEAB2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69B64FC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65D1B3D5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898E6FC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22E15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simulace RF a mikrovlnných prvků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C0EC1FC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D3498AA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1C61C648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8ECD8CE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463C49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vysoko a nízkofrekvenční obvodové (systémové) simulace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E83BA7A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E959AD6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5B470FF9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E007705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E2E3DE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základní analýzy napájecí a signálové integrity PCB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54C8899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4214454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011E5AC7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03CABE8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BC510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technologie planárních mikroelektrických struktur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CE3D239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B04C59F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38291B53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48D3B12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1FCC8D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elektromagnetická kompatibilita a interference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3F7063D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6B7118E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4BD95DB9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C0A1579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68006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návrh mikropáskových obvodů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ACA4172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C3D6F08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047FA224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CED578C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491CA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návrh oscilátorů, filtrů, směšovačů, antén, radarů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999DD02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EC05B6A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24CAD3EF" w14:textId="77777777" w:rsidTr="00CF4E3A">
        <w:trPr>
          <w:trHeight w:val="456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F7BEE22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6B6AE3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 automatické adaptivní tvorby sítě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3F06CD0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98B6C68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6F0036DE" w14:textId="77777777" w:rsidTr="00CF4E3A">
        <w:trPr>
          <w:trHeight w:val="349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14313EDC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4538E4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parametrické, optimalizační a statické výpočty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AA45ACB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E3C0107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37924352" w14:textId="77777777" w:rsidTr="00CF4E3A">
        <w:trPr>
          <w:trHeight w:val="349"/>
        </w:trPr>
        <w:tc>
          <w:tcPr>
            <w:tcW w:w="1634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645CDDE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F7BB27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tvorba SPICE, Touchstone modelů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30D3AA99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3448AEB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E6B87" w:rsidRPr="00CF4E3A" w14:paraId="019F0319" w14:textId="77777777" w:rsidTr="00CF4E3A">
        <w:trPr>
          <w:trHeight w:val="349"/>
        </w:trPr>
        <w:tc>
          <w:tcPr>
            <w:tcW w:w="1634" w:type="dxa"/>
            <w:vMerge/>
            <w:tcBorders>
              <w:left w:val="single" w:sz="1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012D747D" w14:textId="77777777" w:rsidR="00FE6B87" w:rsidRPr="00CF4E3A" w:rsidRDefault="00FE6B87" w:rsidP="00CF4E3A">
            <w:pPr>
              <w:pStyle w:val="Odstavecseseznamem"/>
              <w:widowControl/>
              <w:suppressAutoHyphens w:val="0"/>
              <w:autoSpaceDN/>
              <w:spacing w:before="60" w:after="60"/>
              <w:ind w:left="357"/>
              <w:textAlignment w:val="auto"/>
              <w:rPr>
                <w:rFonts w:ascii="Cambria" w:hAnsi="Cambria" w:cs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DA8EC4" w14:textId="77777777" w:rsidR="00FE6B87" w:rsidRPr="00CF4E3A" w:rsidRDefault="00FE6B87" w:rsidP="00CF4E3A">
            <w:pPr>
              <w:widowControl/>
              <w:suppressAutoHyphens w:val="0"/>
              <w:autoSpaceDN/>
              <w:spacing w:before="60" w:after="60"/>
              <w:ind w:left="144" w:right="136"/>
              <w:textAlignment w:val="auto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možnosti skriptování a programování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26A3C741" w14:textId="77777777" w:rsidR="00FE6B87" w:rsidRPr="00CF4E3A" w:rsidRDefault="00FE6B87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741FC394" w14:textId="77777777" w:rsidR="00FE6B87" w:rsidRPr="00CF4E3A" w:rsidRDefault="00FE6B87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369A" w:rsidRPr="00CF4E3A" w14:paraId="2BC28990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C469326" w14:textId="77777777" w:rsidR="00BF369A" w:rsidRPr="00CF4E3A" w:rsidRDefault="00BF369A" w:rsidP="00DE23AE">
            <w:pPr>
              <w:spacing w:before="60" w:after="60"/>
              <w:ind w:left="135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Knihovna materiálů a součástek výrobců tranzistorů, diod, integrovaných obvodů.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A87F411" w14:textId="77777777" w:rsidR="00BF369A" w:rsidRPr="00CF4E3A" w:rsidRDefault="00BF369A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CAB1E9E" w14:textId="77777777" w:rsidR="00BF369A" w:rsidRPr="00CF4E3A" w:rsidRDefault="00BF369A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369A" w:rsidRPr="00CF4E3A" w14:paraId="5BA109FA" w14:textId="77777777" w:rsidTr="00CF4E3A">
        <w:trPr>
          <w:trHeight w:val="456"/>
        </w:trPr>
        <w:tc>
          <w:tcPr>
            <w:tcW w:w="5606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61241DF2" w14:textId="77777777" w:rsidR="00BF369A" w:rsidRPr="00CF4E3A" w:rsidRDefault="00BF369A" w:rsidP="00DE23AE">
            <w:pPr>
              <w:spacing w:before="60" w:after="60"/>
              <w:ind w:left="135"/>
              <w:rPr>
                <w:rFonts w:ascii="Cambria" w:hAnsi="Cambria" w:cs="Times New Roman"/>
              </w:rPr>
            </w:pPr>
            <w:r w:rsidRPr="00CF4E3A">
              <w:rPr>
                <w:rFonts w:ascii="Cambria" w:hAnsi="Cambria" w:cs="Times New Roman"/>
              </w:rPr>
              <w:t>Trvalá licence bez nutnosti dokupovat další časově omezenou podporu.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419DB570" w14:textId="77777777" w:rsidR="00BF369A" w:rsidRPr="00CF4E3A" w:rsidRDefault="00BF369A" w:rsidP="00CF4E3A">
            <w:pPr>
              <w:spacing w:before="60" w:after="60"/>
              <w:jc w:val="center"/>
              <w:rPr>
                <w:rFonts w:ascii="Cambria" w:hAnsi="Cambria" w:cs="Times New Roman"/>
                <w:caps/>
              </w:rPr>
            </w:pPr>
            <w:r w:rsidRPr="00CF4E3A">
              <w:rPr>
                <w:rFonts w:ascii="Cambria" w:hAnsi="Cambria" w:cs="Times New Roman"/>
                <w:caps/>
              </w:rPr>
              <w:t>Ano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14:paraId="5A467270" w14:textId="77777777" w:rsidR="00BF369A" w:rsidRPr="00CF4E3A" w:rsidRDefault="00BF369A" w:rsidP="00CF4E3A">
            <w:pPr>
              <w:pStyle w:val="Standard"/>
              <w:spacing w:before="60" w:after="6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C08AD1D" w14:textId="77777777" w:rsidR="00B43CB7" w:rsidRPr="00CF4E3A" w:rsidRDefault="00B43CB7">
      <w:pPr>
        <w:rPr>
          <w:rFonts w:ascii="Cambria" w:hAnsi="Cambria"/>
        </w:rPr>
      </w:pPr>
    </w:p>
    <w:p w14:paraId="03E5FD97" w14:textId="51832E82" w:rsidR="006E7318" w:rsidRPr="00CF4E3A" w:rsidRDefault="0006759E">
      <w:pPr>
        <w:pStyle w:val="Standard"/>
        <w:spacing w:line="276" w:lineRule="exact"/>
        <w:rPr>
          <w:rFonts w:ascii="Cambria" w:hAnsi="Cambria"/>
        </w:rPr>
      </w:pPr>
      <w:r w:rsidRPr="00DE4D2D">
        <w:rPr>
          <w:rFonts w:asciiTheme="majorHAnsi" w:hAnsiTheme="majorHAnsi" w:cs="Times New Roman"/>
          <w:i/>
          <w:sz w:val="22"/>
        </w:rPr>
        <w:t>*z důvodu nutnosti zajištění kompatibility se současným provozem</w:t>
      </w:r>
    </w:p>
    <w:sectPr w:rsidR="006E7318" w:rsidRPr="00CF4E3A" w:rsidSect="00DE23AE">
      <w:headerReference w:type="default" r:id="rId8"/>
      <w:pgSz w:w="12240" w:h="15840"/>
      <w:pgMar w:top="1135" w:right="1183" w:bottom="851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E617" w14:textId="77777777" w:rsidR="003F05E1" w:rsidRDefault="003F05E1" w:rsidP="006E7318">
      <w:r>
        <w:separator/>
      </w:r>
    </w:p>
  </w:endnote>
  <w:endnote w:type="continuationSeparator" w:id="0">
    <w:p w14:paraId="460D7281" w14:textId="77777777" w:rsidR="003F05E1" w:rsidRDefault="003F05E1" w:rsidP="006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4B58" w14:textId="77777777" w:rsidR="003F05E1" w:rsidRDefault="003F05E1" w:rsidP="006E7318">
      <w:r w:rsidRPr="006E7318">
        <w:rPr>
          <w:color w:val="000000"/>
        </w:rPr>
        <w:separator/>
      </w:r>
    </w:p>
  </w:footnote>
  <w:footnote w:type="continuationSeparator" w:id="0">
    <w:p w14:paraId="23D4CF2B" w14:textId="77777777" w:rsidR="003F05E1" w:rsidRDefault="003F05E1" w:rsidP="006E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4F7" w14:textId="77777777" w:rsidR="003F05E1" w:rsidRDefault="003F05E1">
    <w:pPr>
      <w:pStyle w:val="Zhlav1"/>
    </w:pPr>
  </w:p>
  <w:p w14:paraId="0A2E6C4A" w14:textId="77777777" w:rsidR="003F05E1" w:rsidRDefault="003F05E1">
    <w:pPr>
      <w:pStyle w:val="Zhlav1"/>
    </w:pPr>
  </w:p>
  <w:p w14:paraId="31FCFD38" w14:textId="77777777" w:rsidR="003F05E1" w:rsidRDefault="003F05E1">
    <w:pPr>
      <w:pStyle w:val="Zhlav1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8170B16"/>
    <w:multiLevelType w:val="hybridMultilevel"/>
    <w:tmpl w:val="1C845C44"/>
    <w:lvl w:ilvl="0" w:tplc="DCCC1C7C">
      <w:start w:val="1"/>
      <w:numFmt w:val="bullet"/>
      <w:lvlText w:val=""/>
      <w:lvlJc w:val="left"/>
      <w:pPr>
        <w:ind w:left="4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 w15:restartNumberingAfterBreak="0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18"/>
    <w:rsid w:val="00067442"/>
    <w:rsid w:val="0006759E"/>
    <w:rsid w:val="000C09F4"/>
    <w:rsid w:val="001076D1"/>
    <w:rsid w:val="00124232"/>
    <w:rsid w:val="001F1AFA"/>
    <w:rsid w:val="00275090"/>
    <w:rsid w:val="002E5176"/>
    <w:rsid w:val="00310FE7"/>
    <w:rsid w:val="00350A38"/>
    <w:rsid w:val="0036045B"/>
    <w:rsid w:val="0037202B"/>
    <w:rsid w:val="00397926"/>
    <w:rsid w:val="003B46AE"/>
    <w:rsid w:val="003D6F05"/>
    <w:rsid w:val="003E03AA"/>
    <w:rsid w:val="003F05E1"/>
    <w:rsid w:val="0042757B"/>
    <w:rsid w:val="004614DF"/>
    <w:rsid w:val="004631A9"/>
    <w:rsid w:val="0046552F"/>
    <w:rsid w:val="00486E0F"/>
    <w:rsid w:val="004A3F3F"/>
    <w:rsid w:val="004C3738"/>
    <w:rsid w:val="004C4A9B"/>
    <w:rsid w:val="004F5114"/>
    <w:rsid w:val="005366F0"/>
    <w:rsid w:val="0058166D"/>
    <w:rsid w:val="00590CD4"/>
    <w:rsid w:val="005B7D06"/>
    <w:rsid w:val="005C31B1"/>
    <w:rsid w:val="005F11D8"/>
    <w:rsid w:val="006051E7"/>
    <w:rsid w:val="00696628"/>
    <w:rsid w:val="006A59C3"/>
    <w:rsid w:val="006B5CF6"/>
    <w:rsid w:val="006E7318"/>
    <w:rsid w:val="00762DDE"/>
    <w:rsid w:val="00833654"/>
    <w:rsid w:val="008E54D3"/>
    <w:rsid w:val="00902628"/>
    <w:rsid w:val="0092376C"/>
    <w:rsid w:val="00955B77"/>
    <w:rsid w:val="009C5CC4"/>
    <w:rsid w:val="00A33EAC"/>
    <w:rsid w:val="00A45FD6"/>
    <w:rsid w:val="00AB00AA"/>
    <w:rsid w:val="00AD2F5A"/>
    <w:rsid w:val="00AD5F1B"/>
    <w:rsid w:val="00B21A37"/>
    <w:rsid w:val="00B31235"/>
    <w:rsid w:val="00B36931"/>
    <w:rsid w:val="00B43CB7"/>
    <w:rsid w:val="00B82FD6"/>
    <w:rsid w:val="00BB6BB2"/>
    <w:rsid w:val="00BF369A"/>
    <w:rsid w:val="00BF44F1"/>
    <w:rsid w:val="00C068BA"/>
    <w:rsid w:val="00C34016"/>
    <w:rsid w:val="00C75D6A"/>
    <w:rsid w:val="00CA6722"/>
    <w:rsid w:val="00CB0C03"/>
    <w:rsid w:val="00CD4D5D"/>
    <w:rsid w:val="00CE7CFE"/>
    <w:rsid w:val="00CF4E3A"/>
    <w:rsid w:val="00D34E0A"/>
    <w:rsid w:val="00D4365E"/>
    <w:rsid w:val="00D86E39"/>
    <w:rsid w:val="00D8746D"/>
    <w:rsid w:val="00DE066C"/>
    <w:rsid w:val="00DE23AE"/>
    <w:rsid w:val="00DF7696"/>
    <w:rsid w:val="00E41D8B"/>
    <w:rsid w:val="00E514C4"/>
    <w:rsid w:val="00E7365D"/>
    <w:rsid w:val="00EA6991"/>
    <w:rsid w:val="00F24502"/>
    <w:rsid w:val="00F37389"/>
    <w:rsid w:val="00F81C46"/>
    <w:rsid w:val="00FA74E1"/>
    <w:rsid w:val="00FB105C"/>
    <w:rsid w:val="00FB1BD3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0CB"/>
  <w15:docId w15:val="{A745CD83-F2F0-423F-B335-FEA191C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uiPriority w:val="34"/>
    <w:qFormat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  <w:style w:type="paragraph" w:customStyle="1" w:styleId="TableParagraph">
    <w:name w:val="Table Paragraph"/>
    <w:basedOn w:val="Normln"/>
    <w:uiPriority w:val="1"/>
    <w:qFormat/>
    <w:rsid w:val="004614DF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jlqj4b">
    <w:name w:val="jlqj4b"/>
    <w:rsid w:val="005366F0"/>
  </w:style>
  <w:style w:type="character" w:customStyle="1" w:styleId="viiyi">
    <w:name w:val="viiyi"/>
    <w:rsid w:val="0053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D449-76F8-46B7-8E7A-0B013B6C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Petr Frömel</cp:lastModifiedBy>
  <cp:revision>4</cp:revision>
  <cp:lastPrinted>2020-02-12T13:54:00Z</cp:lastPrinted>
  <dcterms:created xsi:type="dcterms:W3CDTF">2021-05-11T06:51:00Z</dcterms:created>
  <dcterms:modified xsi:type="dcterms:W3CDTF">2021-05-11T07:19:00Z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