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173A56F7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CF74C6">
              <w:rPr>
                <w:rFonts w:asciiTheme="majorHAnsi" w:hAnsiTheme="majorHAnsi" w:cs="Calibri"/>
                <w:b/>
                <w:sz w:val="28"/>
                <w:szCs w:val="28"/>
              </w:rPr>
              <w:t>2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CF74C6">
              <w:rPr>
                <w:rFonts w:asciiTheme="majorHAnsi" w:hAnsiTheme="majorHAnsi" w:cs="Calibri"/>
                <w:b/>
                <w:sz w:val="28"/>
                <w:szCs w:val="28"/>
              </w:rPr>
              <w:t>Rozšíření ERP systému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CF74C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4</cp:revision>
  <cp:lastPrinted>2019-12-11T11:07:00Z</cp:lastPrinted>
  <dcterms:created xsi:type="dcterms:W3CDTF">2025-10-22T07:10:00Z</dcterms:created>
  <dcterms:modified xsi:type="dcterms:W3CDTF">2026-02-05T09:58:00Z</dcterms:modified>
</cp:coreProperties>
</file>