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C3" w:rsidRDefault="004C73C3" w:rsidP="00075818"/>
    <w:p w:rsidR="00D948BB" w:rsidRDefault="00D948BB" w:rsidP="00075818"/>
    <w:p w:rsidR="00D948BB" w:rsidRDefault="00D948BB" w:rsidP="00075818"/>
    <w:p w:rsidR="00E5615B" w:rsidRPr="001E04F9" w:rsidRDefault="00E5615B" w:rsidP="00075818">
      <w:pPr>
        <w:rPr>
          <w:sz w:val="40"/>
          <w:szCs w:val="40"/>
        </w:rPr>
      </w:pPr>
    </w:p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35"/>
        <w:gridCol w:w="1134"/>
        <w:gridCol w:w="5528"/>
        <w:gridCol w:w="2268"/>
      </w:tblGrid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  <w:r w:rsidRPr="004E61D8">
              <w:t xml:space="preserve">       </w:t>
            </w:r>
            <w:r w:rsidRPr="006F0AAE">
              <w:t>Č. REVIZE: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REVISION NO.:</w:t>
            </w: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DATUM VYDÁNÍ: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POPIS REVIZE: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VYPRACOVAL: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ELABORATED BY:</w:t>
            </w:r>
          </w:p>
        </w:tc>
      </w:tr>
      <w:tr w:rsidR="005A516A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5A516A" w:rsidRPr="00625F3D" w:rsidRDefault="005A516A" w:rsidP="001B3734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:rsidR="005A516A" w:rsidRPr="00625F3D" w:rsidRDefault="005A516A" w:rsidP="001B3734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17.9.2019-</w:t>
            </w:r>
          </w:p>
        </w:tc>
        <w:tc>
          <w:tcPr>
            <w:tcW w:w="5528" w:type="dxa"/>
            <w:vAlign w:val="center"/>
          </w:tcPr>
          <w:p w:rsidR="005A516A" w:rsidRPr="00625F3D" w:rsidRDefault="005A516A" w:rsidP="001B3734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Doplnění poznámky</w:t>
            </w:r>
          </w:p>
        </w:tc>
        <w:tc>
          <w:tcPr>
            <w:tcW w:w="2268" w:type="dxa"/>
            <w:vAlign w:val="center"/>
          </w:tcPr>
          <w:p w:rsidR="005A516A" w:rsidRPr="00625F3D" w:rsidRDefault="005A516A" w:rsidP="001B3734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 xml:space="preserve">Roman </w:t>
            </w:r>
            <w:proofErr w:type="spellStart"/>
            <w:r w:rsidRPr="00625F3D">
              <w:rPr>
                <w:color w:val="FF0000"/>
                <w:sz w:val="24"/>
                <w:szCs w:val="24"/>
              </w:rPr>
              <w:t>Havlišta</w:t>
            </w:r>
            <w:proofErr w:type="spellEnd"/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</w:tbl>
    <w:p w:rsidR="004C73C3" w:rsidRPr="006F0AAE" w:rsidRDefault="009222F1" w:rsidP="004C73C3">
      <w:pPr>
        <w:pStyle w:val="tabulka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91.4pt;margin-top:4.25pt;width:246.5pt;height:64.2pt;z-index:251661312;mso-position-horizontal-relative:text;mso-position-vertical-relative:text;mso-width-relative:margin;mso-height-relative:margin" filled="f" stroked="f">
            <v:textbox style="mso-next-textbox:#_x0000_s1044" inset="1mm">
              <w:txbxContent>
                <w:p w:rsidR="004525EE" w:rsidRDefault="004525EE" w:rsidP="00A25D90">
                  <w:r>
                    <w:t>ČSAD Brno holding, a.s.</w:t>
                  </w:r>
                </w:p>
                <w:p w:rsidR="004525EE" w:rsidRDefault="00AF4847" w:rsidP="00A25D90">
                  <w:r>
                    <w:t>Zvonařka 512</w:t>
                  </w:r>
                  <w:r w:rsidR="004525EE">
                    <w:t>/</w:t>
                  </w:r>
                  <w:r>
                    <w:t>2,</w:t>
                  </w:r>
                </w:p>
                <w:p w:rsidR="004525EE" w:rsidRPr="00F96769" w:rsidRDefault="00AF4847" w:rsidP="00A25D90">
                  <w:pPr>
                    <w:rPr>
                      <w:rStyle w:val="Siln"/>
                      <w:b w:val="0"/>
                      <w:bCs w:val="0"/>
                    </w:rPr>
                  </w:pPr>
                  <w:r>
                    <w:t xml:space="preserve">Trnitá, </w:t>
                  </w:r>
                  <w:r w:rsidR="004525EE">
                    <w:t>602 00 Brno</w:t>
                  </w:r>
                </w:p>
              </w:txbxContent>
            </v:textbox>
          </v:shape>
        </w:pic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2268"/>
        <w:gridCol w:w="3544"/>
        <w:gridCol w:w="1985"/>
        <w:gridCol w:w="992"/>
        <w:gridCol w:w="1276"/>
      </w:tblGrid>
      <w:tr w:rsidR="004C73C3" w:rsidRPr="006F0AAE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6F0AAE" w:rsidRDefault="004C73C3" w:rsidP="00513287">
            <w:pPr>
              <w:pStyle w:val="tabulka0"/>
            </w:pPr>
            <w:r w:rsidRPr="006F0AAE">
              <w:t xml:space="preserve"> GENERÁLNÍ PROJEKTANT:</w:t>
            </w:r>
          </w:p>
          <w:p w:rsidR="004C73C3" w:rsidRPr="006F0AAE" w:rsidRDefault="004C73C3" w:rsidP="00513287">
            <w:pPr>
              <w:pStyle w:val="tabulka0"/>
              <w:rPr>
                <w:rFonts w:cs="Arial"/>
                <w:b/>
              </w:rPr>
            </w:pPr>
            <w:r w:rsidRPr="006F0AAE">
              <w:t>GENERAL DESIGNER: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K4 a.s.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Kociánka 8/10, 612 00 Brno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tel.: +420 541 126 611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fax: +420 541 126 610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e mail: brno@k4.cz</w:t>
            </w:r>
          </w:p>
          <w:p w:rsidR="00A62CB0" w:rsidRPr="006F0AAE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6F0AAE" w:rsidRDefault="00A62CB0" w:rsidP="00A62CB0">
            <w:pPr>
              <w:pStyle w:val="tabulka0"/>
              <w:rPr>
                <w:rFonts w:cs="Arial"/>
              </w:rPr>
            </w:pPr>
            <w:r w:rsidRPr="006F0AAE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6F0AAE" w:rsidRDefault="004C73C3" w:rsidP="00513287">
            <w:pPr>
              <w:pStyle w:val="tabulka0"/>
            </w:pPr>
            <w:r w:rsidRPr="006F0AAE">
              <w:t>INVESTOR: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CLIENT:</w:t>
            </w:r>
          </w:p>
          <w:p w:rsidR="004C73C3" w:rsidRPr="006F0AAE" w:rsidRDefault="004C73C3" w:rsidP="00513287">
            <w:pPr>
              <w:pStyle w:val="tabulka0"/>
            </w:pPr>
          </w:p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45" type="#_x0000_t202" style="position:absolute;left:0;text-align:left;margin-left:-2.55pt;margin-top:25.45pt;width:234.45pt;height:64.5pt;z-index:251662336;mso-position-horizontal-relative:text;mso-position-vertical-relative:text;mso-width-relative:margin;mso-height-relative:margin" filled="f" stroked="f">
                  <v:textbox style="mso-next-textbox:#_x0000_s1045" inset="1mm">
                    <w:txbxContent>
                      <w:p w:rsidR="004525EE" w:rsidRDefault="004525EE" w:rsidP="00A25D90">
                        <w:r>
                          <w:t>ČSAD Brno holding, a.s.</w:t>
                        </w:r>
                      </w:p>
                      <w:p w:rsidR="004525EE" w:rsidRDefault="00AF4847" w:rsidP="00A25D90">
                        <w:r>
                          <w:t>Zvonařka 512</w:t>
                        </w:r>
                        <w:r w:rsidR="004525EE">
                          <w:t>/</w:t>
                        </w:r>
                        <w:r>
                          <w:t>2</w:t>
                        </w:r>
                        <w:r w:rsidR="004525EE">
                          <w:t>,</w:t>
                        </w:r>
                      </w:p>
                      <w:p w:rsidR="004525EE" w:rsidRPr="00A25D90" w:rsidRDefault="00AF4847" w:rsidP="00A25D90">
                        <w:pPr>
                          <w:rPr>
                            <w:rStyle w:val="Siln"/>
                            <w:b w:val="0"/>
                            <w:bCs w:val="0"/>
                            <w:szCs w:val="20"/>
                          </w:rPr>
                        </w:pPr>
                        <w:r>
                          <w:t xml:space="preserve">Trnitá, </w:t>
                        </w:r>
                        <w:r w:rsidR="004525EE">
                          <w:t>602 00 Brno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 w:val="restart"/>
          </w:tcPr>
          <w:p w:rsidR="004C73C3" w:rsidRPr="006F0AAE" w:rsidRDefault="004C73C3" w:rsidP="00513287">
            <w:pPr>
              <w:pStyle w:val="tabulka0"/>
            </w:pPr>
            <w:r w:rsidRPr="006F0AAE">
              <w:t>AUTORIZACE: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AUTHORIZED BY:</w:t>
            </w:r>
          </w:p>
        </w:tc>
      </w:tr>
      <w:tr w:rsidR="004C73C3" w:rsidRPr="006F0AAE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6F0AAE" w:rsidRDefault="004C73C3" w:rsidP="00513287">
            <w:pPr>
              <w:pStyle w:val="tabulka0"/>
            </w:pPr>
            <w:r w:rsidRPr="006F0AAE">
              <w:t>OBJEDNATEL: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PROJECT MANAGER:</w:t>
            </w:r>
          </w:p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62" type="#_x0000_t202" style="position:absolute;left:0;text-align:left;margin-left:-2.55pt;margin-top:36.9pt;width:234.45pt;height:64.5pt;z-index:251680768;mso-position-horizontal-relative:text;mso-position-vertical-relative:text;mso-width-relative:margin;mso-height-relative:margin" filled="f" stroked="f">
                  <v:textbox style="mso-next-textbox:#_x0000_s1062" inset="1mm">
                    <w:txbxContent>
                      <w:p w:rsidR="00E14BF7" w:rsidRPr="00E14BF7" w:rsidRDefault="00E14BF7" w:rsidP="00B664C9">
                        <w:r w:rsidRPr="00E14BF7">
                          <w:t>EL4ING s.r.o.</w:t>
                        </w:r>
                      </w:p>
                      <w:p w:rsidR="00B664C9" w:rsidRPr="00E14BF7" w:rsidRDefault="00E14BF7" w:rsidP="00B664C9">
                        <w:r w:rsidRPr="00E14BF7">
                          <w:t>Mlýnská 543</w:t>
                        </w:r>
                      </w:p>
                      <w:p w:rsidR="00B664C9" w:rsidRPr="00E14BF7" w:rsidRDefault="00E14BF7" w:rsidP="00B664C9">
                        <w:r w:rsidRPr="00E14BF7">
                          <w:t>768 61 Bystřice pod Hostýnem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/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6F0AAE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6F0AAE" w:rsidRDefault="00E14BF7" w:rsidP="00E5615B">
            <w:pPr>
              <w:jc w:val="right"/>
              <w:rPr>
                <w:sz w:val="15"/>
                <w:szCs w:val="15"/>
                <w:lang w:eastAsia="en-US"/>
              </w:rPr>
            </w:pPr>
            <w:r w:rsidRPr="006F0AAE">
              <w:rPr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147955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5615B" w:rsidRPr="006F0AAE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6F0AAE" w:rsidRDefault="00E5615B" w:rsidP="00E5615B">
            <w:pPr>
              <w:jc w:val="right"/>
              <w:rPr>
                <w:lang w:eastAsia="en-US"/>
              </w:rPr>
            </w:pPr>
            <w:r w:rsidRPr="006F0AAE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6F0AAE" w:rsidRDefault="004C73C3" w:rsidP="00513287">
            <w:pPr>
              <w:pStyle w:val="tabulka0"/>
            </w:pPr>
            <w:r w:rsidRPr="006F0AAE">
              <w:t>ČÍSLO PARÉ: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DOCUMENT SET NUMBER: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</w:pPr>
            <w:r w:rsidRPr="006F0AAE">
              <w:t>NÁZEV AKCE: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6F0AAE" w:rsidRDefault="009222F1" w:rsidP="00992B48">
            <w:pPr>
              <w:pStyle w:val="tabulka0"/>
              <w:jc w:val="left"/>
              <w:rPr>
                <w:rFonts w:cs="CAD Arial Narrow"/>
                <w:b/>
              </w:rPr>
            </w:pPr>
            <w:r w:rsidRPr="009222F1">
              <w:rPr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5.5pt;margin-top:-1.1pt;width:0;height:17pt;z-index:25166438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</w:p>
          <w:p w:rsidR="004C73C3" w:rsidRPr="006F0AAE" w:rsidRDefault="00E67A6D" w:rsidP="00E67A6D">
            <w:pPr>
              <w:jc w:val="left"/>
            </w:pPr>
            <w:r w:rsidRPr="006F0AAE">
              <w:t>MODERNIZACE ÚSTŘEDNÍHO AUTOBUSOVÉHO NÁDRAŽÍ ZVONAŘKA</w:t>
            </w:r>
          </w:p>
          <w:p w:rsidR="004C73C3" w:rsidRPr="006F0AAE" w:rsidRDefault="004C73C3" w:rsidP="00075818"/>
          <w:p w:rsidR="004C73C3" w:rsidRPr="006F0AAE" w:rsidRDefault="004C73C3" w:rsidP="00075818"/>
          <w:p w:rsidR="004C73C3" w:rsidRPr="006F0AAE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48" type="#_x0000_t32" style="position:absolute;left:0;text-align:left;margin-left:93.75pt;margin-top:-1.15pt;width:.1pt;height:10.8pt;z-index:25166540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MANAŽER PROJEKTU: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6F0AAE">
              <w:rPr>
                <w:sz w:val="16"/>
                <w:szCs w:val="16"/>
              </w:rPr>
              <w:t xml:space="preserve">Ing. Roman </w:t>
            </w:r>
            <w:proofErr w:type="spellStart"/>
            <w:r w:rsidRPr="006F0AAE">
              <w:rPr>
                <w:sz w:val="16"/>
                <w:szCs w:val="16"/>
              </w:rPr>
              <w:t>Havlišta</w:t>
            </w:r>
            <w:proofErr w:type="spellEnd"/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49" type="#_x0000_t32" style="position:absolute;left:0;text-align:left;margin-left:93.8pt;margin-top:-.85pt;width:0;height:11.35pt;z-index:25166643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ARCHITEKT: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6F0AAE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0" type="#_x0000_t32" style="position:absolute;left:0;text-align:left;margin-left:93.7pt;margin-top:-.75pt;width:0;height:11.35pt;z-index:25166745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HLAVNÍ INŽENÝR: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6F0AAE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1" type="#_x0000_t32" style="position:absolute;left:0;text-align:left;margin-left:94.2pt;margin-top:39.2pt;width:0;height:11.35pt;z-index:251668480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93.95pt;margin-top:78.9pt;width:0;height:11.35pt;z-index:25166950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3" type="#_x0000_t32" style="position:absolute;left:0;text-align:left;margin-left:93.95pt;margin-top:99.2pt;width:0;height:11.35pt;z-index:25167052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4" type="#_x0000_t32" style="position:absolute;left:0;text-align:left;margin-left:93.95pt;margin-top:-.8pt;width:0;height:11.35pt;z-index:25167155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PROJEKTANT: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E14BF7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6F0AAE">
              <w:rPr>
                <w:sz w:val="16"/>
                <w:szCs w:val="16"/>
              </w:rPr>
              <w:t>Antonín Ludík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6F0AAE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5" type="#_x0000_t32" style="position:absolute;left:0;text-align:left;margin-left:93.7pt;margin-top:-.75pt;width:0;height:11.35pt;z-index:25167257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ZAKÁZKA Č.: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6F0AAE" w:rsidRDefault="00992B48" w:rsidP="00513287">
            <w:pPr>
              <w:pStyle w:val="tabulka0"/>
              <w:jc w:val="left"/>
            </w:pPr>
            <w:r w:rsidRPr="006F0AAE">
              <w:t>12</w:t>
            </w:r>
            <w:r w:rsidR="00E67A6D" w:rsidRPr="006F0AAE">
              <w:t>84</w:t>
            </w:r>
          </w:p>
        </w:tc>
        <w:tc>
          <w:tcPr>
            <w:tcW w:w="1276" w:type="dxa"/>
            <w:vAlign w:val="center"/>
          </w:tcPr>
          <w:p w:rsidR="004C73C3" w:rsidRPr="006F0AAE" w:rsidRDefault="009222F1" w:rsidP="00513287">
            <w:pPr>
              <w:pStyle w:val="tabulka0"/>
              <w:jc w:val="left"/>
            </w:pPr>
            <w:r>
              <w:rPr>
                <w:noProof/>
              </w:rPr>
              <w:pict>
                <v:shape id="_x0000_s1056" type="#_x0000_t202" style="position:absolute;margin-left:25.85pt;margin-top:2.15pt;width:32.5pt;height:15.8pt;z-index:251673600;mso-position-horizontal-relative:text;mso-position-vertical-relative:text;mso-width-relative:margin;mso-height-relative:margin" filled="f" stroked="f">
                  <v:textbox style="mso-next-textbox:#_x0000_s1056">
                    <w:txbxContent>
                      <w:p w:rsidR="004525EE" w:rsidRPr="00336957" w:rsidRDefault="00B664C9" w:rsidP="004C73C3">
                        <w:pPr>
                          <w:pStyle w:val="tabulka0"/>
                        </w:pPr>
                        <w:r>
                          <w:t>0</w:t>
                        </w:r>
                        <w:r w:rsidR="003E2E11">
                          <w:t>5</w:t>
                        </w:r>
                      </w:p>
                    </w:txbxContent>
                  </v:textbox>
                </v:shape>
              </w:pict>
            </w:r>
            <w:r w:rsidR="004C73C3" w:rsidRPr="006F0AAE">
              <w:t>ODDÍL:</w:t>
            </w:r>
          </w:p>
          <w:p w:rsidR="004C73C3" w:rsidRPr="006F0AAE" w:rsidRDefault="004C73C3" w:rsidP="00513287">
            <w:pPr>
              <w:pStyle w:val="tabulka0"/>
              <w:jc w:val="left"/>
            </w:pPr>
            <w:r w:rsidRPr="006F0AAE">
              <w:t>PART: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7" type="#_x0000_t32" style="position:absolute;left:0;text-align:left;margin-left:107.8pt;margin-top:-.5pt;width:0;height:17pt;z-index:25167462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STAVEBNÍ OBJEKT: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6F0AAE" w:rsidRDefault="00396F3A" w:rsidP="00396F3A">
            <w:pPr>
              <w:pStyle w:val="tabulka0"/>
              <w:jc w:val="left"/>
              <w:rPr>
                <w:sz w:val="22"/>
                <w:szCs w:val="22"/>
              </w:rPr>
            </w:pPr>
            <w:r w:rsidRPr="006F0AAE">
              <w:rPr>
                <w:sz w:val="22"/>
                <w:szCs w:val="22"/>
              </w:rPr>
              <w:t>SO 01.3 - STAVEBNÍ ÚPRAVY</w:t>
            </w:r>
            <w:r w:rsidR="0051019B" w:rsidRPr="006F0AAE">
              <w:rPr>
                <w:sz w:val="22"/>
                <w:szCs w:val="22"/>
              </w:rPr>
              <w:t xml:space="preserve"> – </w:t>
            </w:r>
            <w:r w:rsidRPr="006F0AAE">
              <w:rPr>
                <w:sz w:val="22"/>
                <w:szCs w:val="22"/>
              </w:rPr>
              <w:t xml:space="preserve"> ODSTAVNÉ PLOCHY NA STŘEŠE OBJEKTU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DATUM: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3E2E11" w:rsidP="003E2E11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31</w:t>
            </w:r>
            <w:r w:rsidR="00B664C9" w:rsidRPr="006F0AAE">
              <w:rPr>
                <w:szCs w:val="16"/>
              </w:rPr>
              <w:t>.</w:t>
            </w:r>
            <w:r w:rsidR="006663C7" w:rsidRPr="006F0AAE">
              <w:rPr>
                <w:szCs w:val="16"/>
              </w:rPr>
              <w:t xml:space="preserve"> </w:t>
            </w:r>
            <w:r w:rsidR="00B664C9" w:rsidRPr="006F0AAE">
              <w:rPr>
                <w:szCs w:val="16"/>
              </w:rPr>
              <w:t>1</w:t>
            </w:r>
            <w:r>
              <w:rPr>
                <w:szCs w:val="16"/>
              </w:rPr>
              <w:t>0</w:t>
            </w:r>
            <w:r w:rsidR="00FE519E" w:rsidRPr="006F0AAE">
              <w:rPr>
                <w:szCs w:val="16"/>
              </w:rPr>
              <w:t>.</w:t>
            </w:r>
            <w:r w:rsidR="006663C7" w:rsidRPr="006F0AAE">
              <w:rPr>
                <w:szCs w:val="16"/>
              </w:rPr>
              <w:t xml:space="preserve"> </w:t>
            </w:r>
            <w:r w:rsidR="00FE519E" w:rsidRPr="006F0AAE">
              <w:rPr>
                <w:szCs w:val="16"/>
              </w:rPr>
              <w:t>201</w:t>
            </w:r>
            <w:r>
              <w:rPr>
                <w:szCs w:val="16"/>
              </w:rPr>
              <w:t>8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8" type="#_x0000_t32" style="position:absolute;left:0;text-align:left;margin-left:93.95pt;margin-top:-.45pt;width:0;height:11.35pt;z-index:25167564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MĚŘÍTKO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59" type="#_x0000_t32" style="position:absolute;left:0;text-align:left;margin-left:107.8pt;margin-top:-.5pt;width:0;height:17pt;z-index:25167667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OBCHODNÍ SOUBOR: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6F0AAE" w:rsidRDefault="00043BC9" w:rsidP="00772B08">
            <w:pPr>
              <w:pStyle w:val="tabulka0"/>
              <w:jc w:val="left"/>
            </w:pPr>
            <w:r w:rsidRPr="006F0AAE"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STUPEŇ PD: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B664C9" w:rsidP="003E2E11">
            <w:pPr>
              <w:pStyle w:val="tabulka0"/>
              <w:jc w:val="left"/>
              <w:rPr>
                <w:b/>
                <w:sz w:val="24"/>
                <w:szCs w:val="24"/>
              </w:rPr>
            </w:pPr>
            <w:r w:rsidRPr="006F0AAE">
              <w:rPr>
                <w:rStyle w:val="Siln"/>
                <w:b w:val="0"/>
                <w:sz w:val="24"/>
                <w:szCs w:val="24"/>
              </w:rPr>
              <w:t>D</w:t>
            </w:r>
            <w:r w:rsidR="003E2E11">
              <w:rPr>
                <w:rStyle w:val="Siln"/>
                <w:b w:val="0"/>
                <w:sz w:val="24"/>
                <w:szCs w:val="24"/>
              </w:rPr>
              <w:t>P</w:t>
            </w:r>
            <w:r w:rsidRPr="006F0AAE"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6F0AAE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6F0AAE" w:rsidRDefault="004C73C3" w:rsidP="00513287">
            <w:pPr>
              <w:pStyle w:val="tabulka0"/>
            </w:pPr>
            <w:r w:rsidRPr="006F0AAE">
              <w:t>KÓD DOKUMENTACE: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F0AAE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 w:rsidRPr="006F0AAE">
              <w:rPr>
                <w:rStyle w:val="Siln"/>
                <w:b w:val="0"/>
                <w:sz w:val="24"/>
                <w:szCs w:val="24"/>
              </w:rPr>
              <w:t>D.1.</w:t>
            </w:r>
            <w:r w:rsidR="003D1832" w:rsidRPr="006F0AAE">
              <w:rPr>
                <w:rStyle w:val="Siln"/>
                <w:b w:val="0"/>
                <w:sz w:val="24"/>
                <w:szCs w:val="24"/>
              </w:rPr>
              <w:t>4.</w:t>
            </w:r>
            <w:r w:rsidR="00043BC9" w:rsidRPr="006F0AAE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6F0AAE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6F0AAE" w:rsidRDefault="009222F1" w:rsidP="00513287">
            <w:pPr>
              <w:pStyle w:val="tabulka0"/>
            </w:pPr>
            <w:r>
              <w:rPr>
                <w:noProof/>
              </w:rPr>
              <w:pict>
                <v:shape id="_x0000_s1060" type="#_x0000_t32" style="position:absolute;left:0;text-align:left;margin-left:107.8pt;margin-top:-.35pt;width:0;height:17pt;z-index:25167769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6F0AAE">
              <w:t>OBSAH:</w:t>
            </w:r>
          </w:p>
          <w:p w:rsidR="004C73C3" w:rsidRPr="006F0AAE" w:rsidRDefault="004C73C3" w:rsidP="00513287">
            <w:pPr>
              <w:pStyle w:val="tabulka0"/>
            </w:pPr>
            <w:r w:rsidRPr="006F0AAE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4C73C3" w:rsidRPr="006F0AAE" w:rsidRDefault="004C73C3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6F0AAE">
              <w:rPr>
                <w:rStyle w:val="Siln"/>
                <w:b w:val="0"/>
                <w:sz w:val="24"/>
                <w:szCs w:val="24"/>
              </w:rPr>
              <w:t>TECHNICKÁ ZPRÁVA</w:t>
            </w:r>
          </w:p>
        </w:tc>
        <w:tc>
          <w:tcPr>
            <w:tcW w:w="4253" w:type="dxa"/>
            <w:gridSpan w:val="3"/>
          </w:tcPr>
          <w:p w:rsidR="004C73C3" w:rsidRPr="006F0AAE" w:rsidRDefault="004C73C3" w:rsidP="00513287">
            <w:pPr>
              <w:pStyle w:val="tabulka0"/>
            </w:pPr>
            <w:r w:rsidRPr="006F0AAE">
              <w:t xml:space="preserve">             ČÍSLO VÝKRESU:                                                  REVIZE:</w:t>
            </w:r>
          </w:p>
          <w:p w:rsidR="004C73C3" w:rsidRPr="006F0AAE" w:rsidRDefault="004C73C3" w:rsidP="005A516A">
            <w:pPr>
              <w:pStyle w:val="tabulka0"/>
              <w:rPr>
                <w:sz w:val="24"/>
                <w:szCs w:val="24"/>
              </w:rPr>
            </w:pPr>
            <w:r w:rsidRPr="006F0AAE">
              <w:t xml:space="preserve">             DRAWING NUMBER:                                             REVISION:                                    </w:t>
            </w:r>
            <w:r w:rsidR="00A25D90" w:rsidRPr="006F0AAE">
              <w:rPr>
                <w:sz w:val="24"/>
                <w:szCs w:val="24"/>
              </w:rPr>
              <w:t>1284</w:t>
            </w:r>
            <w:r w:rsidR="00B664C9" w:rsidRPr="006F0AAE">
              <w:rPr>
                <w:sz w:val="24"/>
                <w:szCs w:val="24"/>
              </w:rPr>
              <w:t>_0</w:t>
            </w:r>
            <w:r w:rsidR="003E2E11">
              <w:rPr>
                <w:sz w:val="24"/>
                <w:szCs w:val="24"/>
              </w:rPr>
              <w:t>5</w:t>
            </w:r>
            <w:r w:rsidR="00B664C9" w:rsidRPr="006F0AAE">
              <w:rPr>
                <w:sz w:val="24"/>
                <w:szCs w:val="24"/>
              </w:rPr>
              <w:t>_</w:t>
            </w:r>
            <w:r w:rsidR="007573F9">
              <w:rPr>
                <w:sz w:val="24"/>
                <w:szCs w:val="24"/>
              </w:rPr>
              <w:t>3</w:t>
            </w:r>
            <w:r w:rsidR="00043BC9" w:rsidRPr="006F0AAE">
              <w:rPr>
                <w:sz w:val="24"/>
                <w:szCs w:val="24"/>
              </w:rPr>
              <w:t>1</w:t>
            </w:r>
            <w:r w:rsidR="00B664C9" w:rsidRPr="006F0AAE">
              <w:rPr>
                <w:sz w:val="24"/>
                <w:szCs w:val="24"/>
              </w:rPr>
              <w:t>_01</w:t>
            </w:r>
            <w:r w:rsidRPr="006F0AAE">
              <w:rPr>
                <w:sz w:val="24"/>
                <w:szCs w:val="24"/>
              </w:rPr>
              <w:t>_</w:t>
            </w:r>
            <w:r w:rsidRPr="005A516A">
              <w:rPr>
                <w:color w:val="FF0000"/>
                <w:sz w:val="24"/>
                <w:szCs w:val="24"/>
              </w:rPr>
              <w:t>0</w:t>
            </w:r>
            <w:r w:rsidR="005A516A" w:rsidRPr="005A516A">
              <w:rPr>
                <w:color w:val="FF0000"/>
                <w:sz w:val="24"/>
                <w:szCs w:val="24"/>
              </w:rPr>
              <w:t>1</w:t>
            </w:r>
          </w:p>
        </w:tc>
      </w:tr>
    </w:tbl>
    <w:p w:rsidR="00E14BF7" w:rsidRPr="006F0AAE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Pr="006F0AAE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Pr="006F0AAE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Pr="006F0AAE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  <w:r w:rsidRPr="006F0AAE">
        <w:rPr>
          <w:rFonts w:ascii="Calibri" w:hAnsi="Calibri"/>
          <w:b/>
          <w:sz w:val="24"/>
          <w:u w:val="single"/>
        </w:rPr>
        <w:t>OBSAH</w:t>
      </w:r>
    </w:p>
    <w:bookmarkStart w:id="1" w:name="_Toc300040736"/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9222F1">
        <w:rPr>
          <w:rFonts w:asciiTheme="minorHAnsi" w:hAnsiTheme="minorHAnsi"/>
          <w:bCs/>
          <w:sz w:val="22"/>
        </w:rPr>
        <w:fldChar w:fldCharType="begin"/>
      </w:r>
      <w:r w:rsidR="00E14BF7" w:rsidRPr="006F0AAE">
        <w:rPr>
          <w:rFonts w:asciiTheme="minorHAnsi" w:hAnsiTheme="minorHAnsi"/>
        </w:rPr>
        <w:instrText xml:space="preserve"> TOC \h \z \t "Nadpis 1;2;Nadpis 2;3;Nadpis 3;4;Nadpis;1" </w:instrText>
      </w:r>
      <w:r w:rsidRPr="009222F1">
        <w:rPr>
          <w:rFonts w:asciiTheme="minorHAnsi" w:hAnsiTheme="minorHAnsi"/>
          <w:bCs/>
          <w:sz w:val="22"/>
        </w:rPr>
        <w:fldChar w:fldCharType="separate"/>
      </w:r>
      <w:hyperlink w:anchor="_Toc534275252" w:history="1">
        <w:r w:rsidR="00C668BA" w:rsidRPr="000E00B5">
          <w:rPr>
            <w:rStyle w:val="Hypertextovodkaz"/>
            <w:noProof/>
          </w:rPr>
          <w:t>1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Popis stavby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3" w:history="1">
        <w:r w:rsidR="00C668BA" w:rsidRPr="000E00B5">
          <w:rPr>
            <w:rStyle w:val="Hypertextovodkaz"/>
            <w:iCs/>
            <w:noProof/>
          </w:rPr>
          <w:t>2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iCs/>
            <w:noProof/>
          </w:rPr>
          <w:t xml:space="preserve">Technické </w:t>
        </w:r>
        <w:r w:rsidR="00C668BA" w:rsidRPr="000E00B5">
          <w:rPr>
            <w:rStyle w:val="Hypertextovodkaz"/>
            <w:noProof/>
          </w:rPr>
          <w:t>údaje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4" w:history="1">
        <w:r w:rsidR="00C668BA" w:rsidRPr="000E00B5">
          <w:rPr>
            <w:rStyle w:val="Hypertextovodkaz"/>
            <w:iCs/>
            <w:noProof/>
          </w:rPr>
          <w:t>3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Určení vnějších vlivů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5" w:history="1">
        <w:r w:rsidR="00C668BA" w:rsidRPr="000E00B5">
          <w:rPr>
            <w:rStyle w:val="Hypertextovodkaz"/>
            <w:noProof/>
          </w:rPr>
          <w:t>4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Veřejné osvětlení - stožáry, svítidla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6" w:history="1">
        <w:r w:rsidR="00C668BA" w:rsidRPr="000E00B5">
          <w:rPr>
            <w:rStyle w:val="Hypertextovodkaz"/>
            <w:noProof/>
          </w:rPr>
          <w:t>5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Napájení výtahu, slaboproudých a ostatních zařízení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7" w:history="1">
        <w:r w:rsidR="00C668BA" w:rsidRPr="000E00B5">
          <w:rPr>
            <w:rStyle w:val="Hypertextovodkaz"/>
            <w:iCs/>
            <w:noProof/>
          </w:rPr>
          <w:t>6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Kabelové rozvody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8" w:history="1">
        <w:r w:rsidR="00C668BA" w:rsidRPr="000E00B5">
          <w:rPr>
            <w:rStyle w:val="Hypertextovodkaz"/>
            <w:noProof/>
          </w:rPr>
          <w:t>7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Uzemnění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59" w:history="1">
        <w:r w:rsidR="00C668BA" w:rsidRPr="000E00B5">
          <w:rPr>
            <w:rStyle w:val="Hypertextovodkaz"/>
            <w:noProof/>
          </w:rPr>
          <w:t>8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Hromosvod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668BA" w:rsidRDefault="009222F1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275260" w:history="1">
        <w:r w:rsidR="00C668BA" w:rsidRPr="000E00B5">
          <w:rPr>
            <w:rStyle w:val="Hypertextovodkaz"/>
            <w:iCs/>
            <w:noProof/>
          </w:rPr>
          <w:t>9</w:t>
        </w:r>
        <w:r w:rsidR="00C668B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68BA" w:rsidRPr="000E00B5">
          <w:rPr>
            <w:rStyle w:val="Hypertextovodkaz"/>
            <w:noProof/>
          </w:rPr>
          <w:t>Použité normy, montáž, revize</w:t>
        </w:r>
        <w:r w:rsidR="00C668B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668BA">
          <w:rPr>
            <w:noProof/>
            <w:webHidden/>
          </w:rPr>
          <w:instrText xml:space="preserve"> PAGEREF _Toc534275260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484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14BF7" w:rsidRPr="006F0AAE" w:rsidRDefault="009222F1" w:rsidP="00E14BF7">
      <w:pPr>
        <w:pStyle w:val="Obsah4"/>
        <w:tabs>
          <w:tab w:val="left" w:pos="567"/>
        </w:tabs>
      </w:pPr>
      <w:r w:rsidRPr="006F0AAE">
        <w:rPr>
          <w:b/>
          <w:caps/>
        </w:rPr>
        <w:fldChar w:fldCharType="end"/>
      </w:r>
      <w:r w:rsidR="00E14BF7" w:rsidRPr="006F0AAE">
        <w:br w:type="page"/>
      </w:r>
    </w:p>
    <w:p w:rsidR="00E14BF7" w:rsidRPr="006F0AAE" w:rsidRDefault="00E14BF7" w:rsidP="007B5D81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2" w:name="_Toc534275252"/>
      <w:bookmarkEnd w:id="1"/>
      <w:r w:rsidRPr="006F0AAE">
        <w:lastRenderedPageBreak/>
        <w:t>Popis stavby</w:t>
      </w:r>
      <w:bookmarkEnd w:id="2"/>
    </w:p>
    <w:p w:rsidR="00E14BF7" w:rsidRPr="00FE2D7C" w:rsidRDefault="00E14BF7" w:rsidP="00396A4D">
      <w:pPr>
        <w:ind w:firstLine="708"/>
        <w:rPr>
          <w:rFonts w:ascii="Calibri" w:hAnsi="Calibri"/>
          <w:sz w:val="22"/>
          <w:szCs w:val="22"/>
        </w:rPr>
      </w:pPr>
      <w:r w:rsidRPr="00FE2D7C">
        <w:rPr>
          <w:rFonts w:ascii="Calibri" w:hAnsi="Calibri"/>
          <w:sz w:val="22"/>
          <w:szCs w:val="22"/>
        </w:rPr>
        <w:t xml:space="preserve"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</w:t>
      </w:r>
      <w:r w:rsidR="000426B8">
        <w:rPr>
          <w:rFonts w:ascii="Calibri" w:hAnsi="Calibri"/>
          <w:sz w:val="22"/>
          <w:szCs w:val="22"/>
        </w:rPr>
        <w:t>přestavby Železniční uzel Brno -</w:t>
      </w:r>
      <w:r w:rsidRPr="00FE2D7C">
        <w:rPr>
          <w:rFonts w:ascii="Calibri" w:hAnsi="Calibri"/>
          <w:sz w:val="22"/>
          <w:szCs w:val="22"/>
        </w:rPr>
        <w:t xml:space="preserve"> městská infrastruktura, na který řešené území přímo navazuje. Ve východní části je záměr limitován projektem Tramvaj Plotní - soubor s</w:t>
      </w:r>
      <w:r w:rsidR="00F93E5A">
        <w:rPr>
          <w:rFonts w:ascii="Calibri" w:hAnsi="Calibri"/>
          <w:sz w:val="22"/>
          <w:szCs w:val="22"/>
        </w:rPr>
        <w:t xml:space="preserve">taveb - etapa 2-4, SO 100.31.2 </w:t>
      </w:r>
      <w:r w:rsidRPr="00FE2D7C">
        <w:rPr>
          <w:rFonts w:ascii="Calibri" w:hAnsi="Calibri"/>
          <w:sz w:val="22"/>
          <w:szCs w:val="22"/>
        </w:rPr>
        <w:t>Ul. Plotní - 1. část, chodníky na který řešené území přímo navazuje.</w:t>
      </w:r>
    </w:p>
    <w:p w:rsidR="00E14BF7" w:rsidRPr="00FE2D7C" w:rsidRDefault="00E14BF7" w:rsidP="00396A4D">
      <w:pPr>
        <w:ind w:firstLine="708"/>
        <w:rPr>
          <w:rFonts w:ascii="Calibri" w:hAnsi="Calibri"/>
          <w:sz w:val="22"/>
          <w:szCs w:val="22"/>
        </w:rPr>
      </w:pPr>
      <w:r w:rsidRPr="00FE2D7C">
        <w:rPr>
          <w:rFonts w:ascii="Calibri" w:hAnsi="Calibri"/>
          <w:sz w:val="22"/>
          <w:szCs w:val="22"/>
        </w:rPr>
        <w:t xml:space="preserve">Nádražní budova je objekt sloužící k zastřešení nástupiště autobusů a zároveň jako nadzemní parkoviště vozidel. V prostoru </w:t>
      </w:r>
      <w:r w:rsidR="00214B9E" w:rsidRPr="00FE2D7C">
        <w:rPr>
          <w:rFonts w:ascii="Calibri" w:hAnsi="Calibri"/>
          <w:sz w:val="22"/>
          <w:szCs w:val="22"/>
        </w:rPr>
        <w:t xml:space="preserve">střechy </w:t>
      </w:r>
      <w:r w:rsidRPr="00FE2D7C">
        <w:rPr>
          <w:rFonts w:ascii="Calibri" w:hAnsi="Calibri"/>
          <w:sz w:val="22"/>
          <w:szCs w:val="22"/>
        </w:rPr>
        <w:t xml:space="preserve">nádražní budovy bude prováděna rekonstrukce </w:t>
      </w:r>
      <w:r w:rsidR="00214B9E" w:rsidRPr="00FE2D7C">
        <w:rPr>
          <w:rFonts w:ascii="Calibri" w:hAnsi="Calibri"/>
          <w:sz w:val="22"/>
          <w:szCs w:val="22"/>
        </w:rPr>
        <w:t>osvětlení, doplnění nového výtahu, pokladny a parkovacího systému</w:t>
      </w:r>
      <w:r w:rsidRPr="00FE2D7C">
        <w:rPr>
          <w:rFonts w:ascii="Calibri" w:hAnsi="Calibri"/>
          <w:sz w:val="22"/>
          <w:szCs w:val="22"/>
        </w:rPr>
        <w:t xml:space="preserve"> </w:t>
      </w:r>
      <w:r w:rsidR="00214B9E" w:rsidRPr="00FE2D7C">
        <w:rPr>
          <w:rFonts w:ascii="Calibri" w:hAnsi="Calibri"/>
          <w:sz w:val="22"/>
          <w:szCs w:val="22"/>
        </w:rPr>
        <w:t>(</w:t>
      </w:r>
      <w:r w:rsidRPr="00FE2D7C">
        <w:rPr>
          <w:rFonts w:ascii="Calibri" w:hAnsi="Calibri"/>
          <w:sz w:val="22"/>
          <w:szCs w:val="22"/>
        </w:rPr>
        <w:t>závory, parkovací automat</w:t>
      </w:r>
      <w:r w:rsidR="00214B9E" w:rsidRPr="00FE2D7C">
        <w:rPr>
          <w:rFonts w:ascii="Calibri" w:hAnsi="Calibri"/>
          <w:sz w:val="22"/>
          <w:szCs w:val="22"/>
        </w:rPr>
        <w:t>).</w:t>
      </w:r>
    </w:p>
    <w:p w:rsidR="00E14BF7" w:rsidRPr="002F3F79" w:rsidRDefault="00E14BF7" w:rsidP="00E14BF7">
      <w:pPr>
        <w:pStyle w:val="dka"/>
        <w:ind w:left="426"/>
        <w:rPr>
          <w:rFonts w:asciiTheme="minorHAnsi" w:hAnsiTheme="minorHAnsi"/>
          <w:sz w:val="22"/>
        </w:rPr>
      </w:pPr>
    </w:p>
    <w:p w:rsidR="00E14BF7" w:rsidRPr="006F0AAE" w:rsidRDefault="00E14BF7" w:rsidP="007B5D81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3" w:name="_Toc534275253"/>
      <w:r w:rsidRPr="006F0AAE">
        <w:rPr>
          <w:iCs/>
        </w:rPr>
        <w:t xml:space="preserve">Technické </w:t>
      </w:r>
      <w:r w:rsidRPr="006F0AAE">
        <w:t>údaje</w:t>
      </w:r>
      <w:bookmarkEnd w:id="3"/>
    </w:p>
    <w:p w:rsidR="00E14BF7" w:rsidRPr="00FE2D7C" w:rsidRDefault="00E14BF7" w:rsidP="00396A4D">
      <w:pPr>
        <w:pStyle w:val="dka"/>
        <w:ind w:left="426"/>
        <w:jc w:val="both"/>
        <w:rPr>
          <w:rFonts w:ascii="Calibri" w:hAnsi="Calibri"/>
          <w:b/>
          <w:sz w:val="22"/>
        </w:rPr>
      </w:pPr>
      <w:r w:rsidRPr="00FE2D7C">
        <w:rPr>
          <w:rFonts w:ascii="Calibri" w:hAnsi="Calibri"/>
          <w:sz w:val="22"/>
        </w:rPr>
        <w:t>Napájení za podružnými rozvodnicemi:</w:t>
      </w:r>
      <w:r w:rsidRPr="00FE2D7C">
        <w:rPr>
          <w:rFonts w:ascii="Calibri" w:hAnsi="Calibri"/>
          <w:sz w:val="22"/>
        </w:rPr>
        <w:tab/>
      </w:r>
      <w:r w:rsidRPr="00FE2D7C">
        <w:rPr>
          <w:rFonts w:ascii="Calibri" w:hAnsi="Calibri"/>
          <w:sz w:val="22"/>
        </w:rPr>
        <w:tab/>
      </w:r>
      <w:r w:rsidRPr="00FE2D7C">
        <w:rPr>
          <w:rFonts w:ascii="Calibri" w:hAnsi="Calibri"/>
          <w:b/>
          <w:sz w:val="22"/>
        </w:rPr>
        <w:t>3+N+PE AC 3x230/400V TN-C-S</w:t>
      </w:r>
    </w:p>
    <w:p w:rsidR="00E14BF7" w:rsidRPr="00FE2D7C" w:rsidRDefault="00E14BF7" w:rsidP="00396A4D">
      <w:pPr>
        <w:pStyle w:val="dka"/>
        <w:ind w:left="426"/>
        <w:jc w:val="both"/>
        <w:rPr>
          <w:rFonts w:ascii="Calibri" w:hAnsi="Calibri"/>
          <w:sz w:val="22"/>
        </w:rPr>
      </w:pPr>
      <w:r w:rsidRPr="00FE2D7C">
        <w:rPr>
          <w:rFonts w:ascii="Calibri" w:hAnsi="Calibri"/>
          <w:sz w:val="22"/>
        </w:rPr>
        <w:t xml:space="preserve">Ochrana před úrazem elektrickým proudem dle </w:t>
      </w:r>
      <w:r w:rsidRPr="00FE2D7C">
        <w:rPr>
          <w:rFonts w:ascii="Calibri" w:hAnsi="Calibri"/>
          <w:b/>
          <w:sz w:val="22"/>
        </w:rPr>
        <w:t>ČSN 33 2000-4-41</w:t>
      </w:r>
      <w:r w:rsidR="00FE2D7C">
        <w:rPr>
          <w:rFonts w:ascii="Calibri" w:hAnsi="Calibri"/>
          <w:b/>
          <w:sz w:val="22"/>
        </w:rPr>
        <w:t xml:space="preserve"> e</w:t>
      </w:r>
      <w:r w:rsidRPr="00FE2D7C">
        <w:rPr>
          <w:rFonts w:ascii="Calibri" w:hAnsi="Calibri"/>
          <w:b/>
          <w:sz w:val="22"/>
        </w:rPr>
        <w:t>d2.</w:t>
      </w:r>
      <w:r w:rsidR="00B44891">
        <w:rPr>
          <w:rFonts w:ascii="Calibri" w:hAnsi="Calibri"/>
          <w:b/>
          <w:sz w:val="22"/>
        </w:rPr>
        <w:t>:</w:t>
      </w:r>
    </w:p>
    <w:p w:rsidR="00E14BF7" w:rsidRPr="00FE2D7C" w:rsidRDefault="00FE2D7C" w:rsidP="00396A4D">
      <w:pPr>
        <w:pStyle w:val="dka"/>
        <w:numPr>
          <w:ilvl w:val="0"/>
          <w:numId w:val="43"/>
        </w:numPr>
        <w:tabs>
          <w:tab w:val="left" w:pos="453"/>
        </w:tabs>
        <w:ind w:left="42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E14BF7" w:rsidRPr="00FE2D7C">
        <w:rPr>
          <w:rFonts w:ascii="Calibri" w:hAnsi="Calibri"/>
          <w:sz w:val="22"/>
        </w:rPr>
        <w:t>Ochrana před dotykem živých částí:</w:t>
      </w:r>
    </w:p>
    <w:p w:rsidR="00E14BF7" w:rsidRPr="00FE2D7C" w:rsidRDefault="00E14BF7" w:rsidP="00396A4D">
      <w:pPr>
        <w:pStyle w:val="dka"/>
        <w:ind w:left="1134" w:firstLine="282"/>
        <w:jc w:val="both"/>
        <w:rPr>
          <w:rFonts w:ascii="Calibri" w:hAnsi="Calibri"/>
          <w:sz w:val="22"/>
        </w:rPr>
      </w:pPr>
      <w:r w:rsidRPr="00FE2D7C">
        <w:rPr>
          <w:rFonts w:ascii="Calibri" w:hAnsi="Calibri"/>
          <w:sz w:val="22"/>
        </w:rPr>
        <w:t>Izolací, kryty, přepážkami</w:t>
      </w:r>
    </w:p>
    <w:p w:rsidR="00E14BF7" w:rsidRPr="00FE2D7C" w:rsidRDefault="00FE2D7C" w:rsidP="00396A4D">
      <w:pPr>
        <w:pStyle w:val="dka"/>
        <w:numPr>
          <w:ilvl w:val="0"/>
          <w:numId w:val="43"/>
        </w:numPr>
        <w:tabs>
          <w:tab w:val="left" w:pos="453"/>
        </w:tabs>
        <w:ind w:left="42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Pr="00FE2D7C">
        <w:rPr>
          <w:rFonts w:ascii="Calibri" w:hAnsi="Calibri"/>
          <w:sz w:val="22"/>
        </w:rPr>
        <w:t>Ochrana před nebezpečným</w:t>
      </w:r>
      <w:r w:rsidR="00E14BF7" w:rsidRPr="00FE2D7C">
        <w:rPr>
          <w:rFonts w:ascii="Calibri" w:hAnsi="Calibri"/>
          <w:sz w:val="22"/>
        </w:rPr>
        <w:t xml:space="preserve"> dotykem neživých částí:</w:t>
      </w:r>
    </w:p>
    <w:p w:rsidR="00E14BF7" w:rsidRPr="00FE2D7C" w:rsidRDefault="00E14BF7" w:rsidP="00396A4D">
      <w:pPr>
        <w:pStyle w:val="dka"/>
        <w:ind w:left="1416"/>
        <w:jc w:val="both"/>
        <w:rPr>
          <w:rFonts w:ascii="Calibri" w:hAnsi="Calibri"/>
          <w:sz w:val="22"/>
        </w:rPr>
      </w:pPr>
      <w:r w:rsidRPr="00FE2D7C">
        <w:rPr>
          <w:rFonts w:ascii="Calibri" w:hAnsi="Calibri"/>
          <w:sz w:val="22"/>
        </w:rPr>
        <w:t>Automatickým odpojením od zdroje</w:t>
      </w:r>
    </w:p>
    <w:p w:rsidR="00E14BF7" w:rsidRPr="00FE2D7C" w:rsidRDefault="00E14BF7" w:rsidP="00396A4D">
      <w:pPr>
        <w:pStyle w:val="dka"/>
        <w:spacing w:before="120"/>
        <w:ind w:left="425"/>
        <w:jc w:val="both"/>
        <w:rPr>
          <w:rFonts w:ascii="Calibri" w:hAnsi="Calibri"/>
          <w:sz w:val="22"/>
        </w:rPr>
      </w:pPr>
      <w:r w:rsidRPr="00FE2D7C">
        <w:rPr>
          <w:rFonts w:ascii="Calibri" w:hAnsi="Calibri"/>
          <w:sz w:val="22"/>
        </w:rPr>
        <w:t>Kategorie dodávky el</w:t>
      </w:r>
      <w:r w:rsidR="000235E9">
        <w:rPr>
          <w:rFonts w:ascii="Calibri" w:hAnsi="Calibri"/>
          <w:sz w:val="22"/>
        </w:rPr>
        <w:t>ektrické</w:t>
      </w:r>
      <w:r w:rsidRPr="00FE2D7C">
        <w:rPr>
          <w:rFonts w:ascii="Calibri" w:hAnsi="Calibri"/>
          <w:sz w:val="22"/>
        </w:rPr>
        <w:t xml:space="preserve"> energie dle ČSN 34 1600 ve</w:t>
      </w:r>
      <w:r w:rsidRPr="00FE2D7C">
        <w:rPr>
          <w:rFonts w:ascii="Calibri" w:hAnsi="Calibri"/>
          <w:b/>
          <w:sz w:val="22"/>
        </w:rPr>
        <w:t xml:space="preserve"> 3. stupni</w:t>
      </w:r>
      <w:r w:rsidRPr="00FE2D7C">
        <w:rPr>
          <w:rFonts w:ascii="Calibri" w:hAnsi="Calibri"/>
          <w:sz w:val="22"/>
        </w:rPr>
        <w:t xml:space="preserve"> důležitosti.</w:t>
      </w:r>
    </w:p>
    <w:p w:rsidR="00BA1BD5" w:rsidRDefault="00BA1BD5" w:rsidP="00BA1BD5">
      <w:pPr>
        <w:pStyle w:val="dka"/>
        <w:ind w:left="425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page" w:tblpX="1947" w:tblpY="156"/>
        <w:tblW w:w="5920" w:type="dxa"/>
        <w:tblCellMar>
          <w:left w:w="70" w:type="dxa"/>
          <w:right w:w="70" w:type="dxa"/>
        </w:tblCellMar>
        <w:tblLook w:val="04A0"/>
      </w:tblPr>
      <w:tblGrid>
        <w:gridCol w:w="3320"/>
        <w:gridCol w:w="922"/>
        <w:gridCol w:w="708"/>
        <w:gridCol w:w="970"/>
      </w:tblGrid>
      <w:tr w:rsidR="00DB4370" w:rsidRPr="00DB4370" w:rsidTr="00DB4370">
        <w:trPr>
          <w:trHeight w:val="288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u w:val="single"/>
              </w:rPr>
              <w:t>SO01.3-STŘECHA</w:t>
            </w:r>
          </w:p>
        </w:tc>
        <w:tc>
          <w:tcPr>
            <w:tcW w:w="26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RPVH</w:t>
            </w:r>
          </w:p>
        </w:tc>
      </w:tr>
      <w:tr w:rsidR="00DB4370" w:rsidRPr="00DB4370" w:rsidTr="00DB4370">
        <w:trPr>
          <w:trHeight w:val="288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Pi</w:t>
            </w:r>
            <w:proofErr w:type="spellEnd"/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soud.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Ps</w:t>
            </w:r>
            <w:proofErr w:type="spellEnd"/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DB4370" w:rsidRPr="00DB4370" w:rsidTr="00DB4370">
        <w:trPr>
          <w:trHeight w:val="288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370" w:rsidRPr="00DB4370" w:rsidRDefault="00DB4370" w:rsidP="00DB4370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parkovací systém, pokladna</w:t>
            </w:r>
          </w:p>
        </w:tc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0,45</w:t>
            </w:r>
          </w:p>
        </w:tc>
      </w:tr>
      <w:tr w:rsidR="00DB4370" w:rsidRPr="00DB4370" w:rsidTr="00DB4370">
        <w:trPr>
          <w:trHeight w:val="288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370" w:rsidRPr="00DB4370" w:rsidRDefault="00DB4370" w:rsidP="00DB4370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osobní výtah</w:t>
            </w:r>
          </w:p>
        </w:tc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4,60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2,76</w:t>
            </w:r>
          </w:p>
        </w:tc>
      </w:tr>
      <w:tr w:rsidR="00DB4370" w:rsidRPr="00DB4370" w:rsidTr="00DB4370">
        <w:trPr>
          <w:trHeight w:val="288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370" w:rsidRPr="00DB4370" w:rsidRDefault="00DB4370" w:rsidP="00DB4370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el. přímotop výtah</w:t>
            </w:r>
          </w:p>
        </w:tc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color w:val="000000"/>
                <w:sz w:val="22"/>
                <w:szCs w:val="22"/>
              </w:rPr>
              <w:t>1,20</w:t>
            </w:r>
          </w:p>
        </w:tc>
      </w:tr>
      <w:tr w:rsidR="00DB4370" w:rsidRPr="00DB4370" w:rsidTr="00DB4370">
        <w:trPr>
          <w:trHeight w:val="300"/>
        </w:trPr>
        <w:tc>
          <w:tcPr>
            <w:tcW w:w="3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8,10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4370" w:rsidRPr="00DB4370" w:rsidRDefault="00DB4370" w:rsidP="00DB4370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B4370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4,41</w:t>
            </w:r>
          </w:p>
        </w:tc>
      </w:tr>
    </w:tbl>
    <w:p w:rsidR="00DB4370" w:rsidRDefault="00DB4370" w:rsidP="00BA1BD5">
      <w:pPr>
        <w:pStyle w:val="dka"/>
        <w:ind w:left="425"/>
        <w:rPr>
          <w:rFonts w:asciiTheme="minorHAnsi" w:hAnsiTheme="minorHAnsi"/>
          <w:sz w:val="22"/>
        </w:rPr>
      </w:pPr>
    </w:p>
    <w:p w:rsidR="00DB4370" w:rsidRDefault="00DB4370" w:rsidP="00BA1BD5">
      <w:pPr>
        <w:pStyle w:val="dka"/>
        <w:ind w:left="425"/>
        <w:rPr>
          <w:rFonts w:asciiTheme="minorHAnsi" w:hAnsiTheme="minorHAnsi"/>
          <w:sz w:val="22"/>
        </w:rPr>
      </w:pPr>
    </w:p>
    <w:p w:rsidR="00DB4370" w:rsidRPr="006F0AAE" w:rsidRDefault="00DB4370" w:rsidP="00BA1BD5">
      <w:pPr>
        <w:pStyle w:val="dka"/>
        <w:ind w:left="425"/>
        <w:rPr>
          <w:rFonts w:asciiTheme="minorHAnsi" w:hAnsiTheme="minorHAnsi"/>
          <w:sz w:val="22"/>
        </w:rPr>
      </w:pPr>
    </w:p>
    <w:p w:rsidR="00E14BF7" w:rsidRPr="002F3F79" w:rsidRDefault="00E14BF7" w:rsidP="00E14BF7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2F3F79" w:rsidRDefault="002F3F79" w:rsidP="00E14BF7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DB4370" w:rsidRDefault="00DB4370" w:rsidP="00E14BF7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DB4370" w:rsidRDefault="00DB4370" w:rsidP="00E14BF7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DB4370" w:rsidRPr="002F3F79" w:rsidRDefault="00DB4370" w:rsidP="00E14BF7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E14BF7" w:rsidRPr="006F0AAE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4" w:name="_Toc534275254"/>
      <w:r w:rsidRPr="006F0AAE">
        <w:t>Určení vnějších vlivů</w:t>
      </w:r>
      <w:bookmarkEnd w:id="4"/>
    </w:p>
    <w:p w:rsidR="00E14BF7" w:rsidRPr="006F0AAE" w:rsidRDefault="00FE2D7C" w:rsidP="00396A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ab/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Působení vnějších vlivů na elektrická zařízení se </w:t>
      </w:r>
      <w:r w:rsidR="004F4160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rekonstrukcí nemění, ale z důvodu inovace celé řady předpisů norem napříč obory je </w:t>
      </w:r>
      <w:r w:rsidR="00996D4F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v rámci této dokumentace </w:t>
      </w:r>
      <w:r w:rsidR="004F4160" w:rsidRPr="006F0AAE">
        <w:rPr>
          <w:rStyle w:val="Zdraznnjemn"/>
          <w:rFonts w:ascii="Calibri" w:hAnsi="Calibri"/>
          <w:kern w:val="0"/>
          <w:sz w:val="22"/>
          <w:szCs w:val="22"/>
        </w:rPr>
        <w:t>vypracován nový protokol č. 17P43/</w:t>
      </w:r>
      <w:r w:rsidR="007F1A5E">
        <w:rPr>
          <w:rStyle w:val="Zdraznnjemn"/>
          <w:rFonts w:ascii="Calibri" w:hAnsi="Calibri"/>
          <w:kern w:val="0"/>
          <w:sz w:val="22"/>
          <w:szCs w:val="22"/>
        </w:rPr>
        <w:t>4</w:t>
      </w:r>
      <w:r w:rsidR="004F4160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 dle 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>ČSN 33 2000-5-51 ed.3 a TNI 33 2000-5-51</w:t>
      </w:r>
      <w:r w:rsidR="00996D4F" w:rsidRPr="006F0AAE">
        <w:rPr>
          <w:rStyle w:val="Zdraznnjemn"/>
          <w:rFonts w:ascii="Calibri" w:hAnsi="Calibri"/>
          <w:kern w:val="0"/>
          <w:sz w:val="22"/>
          <w:szCs w:val="22"/>
        </w:rPr>
        <w:t>, číslo výkresu 1284_03_11_02.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 </w:t>
      </w:r>
      <w:r w:rsidR="00996D4F" w:rsidRPr="006F0AAE">
        <w:rPr>
          <w:rStyle w:val="Zdraznnjemn"/>
          <w:rFonts w:ascii="Calibri" w:hAnsi="Calibri"/>
          <w:kern w:val="0"/>
          <w:sz w:val="22"/>
          <w:szCs w:val="22"/>
        </w:rPr>
        <w:t>P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>ůsobí zejména tyto vlivy:</w:t>
      </w:r>
    </w:p>
    <w:p w:rsidR="00E14BF7" w:rsidRPr="006F0AAE" w:rsidRDefault="00E14BF7" w:rsidP="00396A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 w:rsidRPr="006F0AAE">
        <w:rPr>
          <w:rStyle w:val="Zdraznnjemn"/>
          <w:rFonts w:ascii="Calibri" w:hAnsi="Calibri"/>
          <w:kern w:val="0"/>
          <w:sz w:val="22"/>
          <w:szCs w:val="22"/>
        </w:rPr>
        <w:t>- prostředí zvlášť nebezpečné: venkovní prostředí s vlivem nízké teploty okolí nebo mráz, vliv vlhkosti a nízké teploty, výskyt stříkající vody, mírné prašnosti, atmosférického korozivního působení, střední sluneční záření, středního větru (vlivy AA7, AA8, AB7, AB8, AC1, AD4, AE5, AF2, AG1, AK1, AL1, AM-1-2, AN2, AP1, AQ2, AR2, AS2, BA1, BA1, BC3, BD1, BE1, CA1, CB1).</w:t>
      </w:r>
    </w:p>
    <w:p w:rsidR="007D07D6" w:rsidRPr="00FE2D7C" w:rsidRDefault="007D07D6" w:rsidP="00396A4D">
      <w:pPr>
        <w:spacing w:before="0"/>
        <w:ind w:left="426" w:firstLine="426"/>
        <w:rPr>
          <w:rFonts w:ascii="Calibri" w:hAnsi="Calibri"/>
          <w:iCs/>
          <w:sz w:val="22"/>
          <w:szCs w:val="22"/>
          <w:specVanish/>
        </w:rPr>
      </w:pPr>
    </w:p>
    <w:p w:rsidR="007D07D6" w:rsidRDefault="007D07D6" w:rsidP="007D07D6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5" w:name="_Toc507048579"/>
      <w:bookmarkStart w:id="6" w:name="_Toc534275255"/>
      <w:r>
        <w:t>Veřejné</w:t>
      </w:r>
      <w:r w:rsidRPr="009162A1">
        <w:t xml:space="preserve"> osvětlení</w:t>
      </w:r>
      <w:r w:rsidR="00FE2D7C">
        <w:t xml:space="preserve"> -</w:t>
      </w:r>
      <w:r w:rsidRPr="001C0EB1">
        <w:t xml:space="preserve"> stožáry, svítidla</w:t>
      </w:r>
      <w:bookmarkEnd w:id="5"/>
      <w:bookmarkEnd w:id="6"/>
    </w:p>
    <w:p w:rsidR="007D07D6" w:rsidRPr="001C0EB1" w:rsidRDefault="000235E9" w:rsidP="00396A4D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P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ro osvětlení </w:t>
      </w:r>
      <w:r>
        <w:rPr>
          <w:rStyle w:val="Zdraznnjemn"/>
          <w:rFonts w:ascii="Calibri" w:hAnsi="Calibri"/>
          <w:sz w:val="22"/>
          <w:szCs w:val="20"/>
        </w:rPr>
        <w:t>parkoviště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</w:t>
      </w:r>
      <w:r>
        <w:rPr>
          <w:rStyle w:val="Zdraznnjemn"/>
          <w:rFonts w:ascii="Calibri" w:hAnsi="Calibri"/>
          <w:sz w:val="22"/>
          <w:szCs w:val="20"/>
        </w:rPr>
        <w:t>n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a </w:t>
      </w:r>
      <w:r>
        <w:rPr>
          <w:rStyle w:val="Zdraznnjemn"/>
          <w:rFonts w:ascii="Calibri" w:hAnsi="Calibri"/>
          <w:sz w:val="22"/>
          <w:szCs w:val="20"/>
        </w:rPr>
        <w:t xml:space="preserve">střeše 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nástupiště UAN Zvonařka </w:t>
      </w:r>
      <w:r>
        <w:rPr>
          <w:rStyle w:val="Zdraznnjemn"/>
          <w:rFonts w:ascii="Calibri" w:hAnsi="Calibri"/>
          <w:sz w:val="22"/>
          <w:szCs w:val="20"/>
        </w:rPr>
        <w:t>bude použito svítidel LED</w:t>
      </w:r>
      <w:r w:rsidR="007D07D6" w:rsidRPr="001C0EB1">
        <w:rPr>
          <w:rStyle w:val="Zdraznnjemn"/>
          <w:rFonts w:ascii="Calibri" w:hAnsi="Calibri"/>
          <w:sz w:val="22"/>
          <w:szCs w:val="20"/>
        </w:rPr>
        <w:t xml:space="preserve"> </w:t>
      </w:r>
      <w:r>
        <w:rPr>
          <w:rStyle w:val="Zdraznnjemn"/>
          <w:rFonts w:ascii="Calibri" w:hAnsi="Calibri"/>
          <w:sz w:val="22"/>
          <w:szCs w:val="20"/>
        </w:rPr>
        <w:t xml:space="preserve">instalovaných </w:t>
      </w:r>
      <w:r w:rsidR="007D07D6" w:rsidRPr="001C0EB1">
        <w:rPr>
          <w:rStyle w:val="Zdraznnjemn"/>
          <w:rFonts w:ascii="Calibri" w:hAnsi="Calibri"/>
          <w:sz w:val="22"/>
          <w:szCs w:val="20"/>
        </w:rPr>
        <w:t xml:space="preserve">na </w:t>
      </w:r>
      <w:r>
        <w:rPr>
          <w:rStyle w:val="Zdraznnjemn"/>
          <w:rFonts w:ascii="Calibri" w:hAnsi="Calibri"/>
          <w:sz w:val="22"/>
          <w:szCs w:val="20"/>
        </w:rPr>
        <w:t xml:space="preserve">nových </w:t>
      </w:r>
      <w:r w:rsidR="007D07D6" w:rsidRPr="001C0EB1">
        <w:rPr>
          <w:rStyle w:val="Zdraznnjemn"/>
          <w:rFonts w:ascii="Calibri" w:hAnsi="Calibri"/>
          <w:sz w:val="22"/>
          <w:szCs w:val="20"/>
        </w:rPr>
        <w:t>stožár</w:t>
      </w:r>
      <w:r w:rsidR="007D07D6">
        <w:rPr>
          <w:rStyle w:val="Zdraznnjemn"/>
          <w:rFonts w:ascii="Calibri" w:hAnsi="Calibri"/>
          <w:sz w:val="22"/>
          <w:szCs w:val="20"/>
        </w:rPr>
        <w:t>ech</w:t>
      </w:r>
      <w:r w:rsidR="007D07D6" w:rsidRPr="001C0EB1">
        <w:rPr>
          <w:rStyle w:val="Zdraznnjemn"/>
          <w:rFonts w:ascii="Calibri" w:hAnsi="Calibri"/>
          <w:sz w:val="22"/>
          <w:szCs w:val="20"/>
        </w:rPr>
        <w:t>. Napájení svítid</w:t>
      </w:r>
      <w:r w:rsidR="007D07D6">
        <w:rPr>
          <w:rStyle w:val="Zdraznnjemn"/>
          <w:rFonts w:ascii="Calibri" w:hAnsi="Calibri"/>
          <w:sz w:val="22"/>
          <w:szCs w:val="20"/>
        </w:rPr>
        <w:t>e</w:t>
      </w:r>
      <w:r>
        <w:rPr>
          <w:rStyle w:val="Zdraznnjemn"/>
          <w:rFonts w:ascii="Calibri" w:hAnsi="Calibri"/>
          <w:sz w:val="22"/>
          <w:szCs w:val="20"/>
        </w:rPr>
        <w:t>l bude ze stávajícího rozvaděče VO umístěného na střeše objektu, ovládání a spínání bude také stávajícím způsobem.</w:t>
      </w:r>
    </w:p>
    <w:p w:rsidR="007D07D6" w:rsidRPr="001C0EB1" w:rsidRDefault="007D07D6" w:rsidP="00396A4D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1C0EB1">
        <w:rPr>
          <w:rStyle w:val="Zdraznnjemn"/>
          <w:rFonts w:ascii="Calibri" w:hAnsi="Calibri"/>
          <w:sz w:val="22"/>
          <w:szCs w:val="20"/>
        </w:rPr>
        <w:lastRenderedPageBreak/>
        <w:t>Stožár</w:t>
      </w:r>
      <w:r>
        <w:rPr>
          <w:rStyle w:val="Zdraznnjemn"/>
          <w:rFonts w:ascii="Calibri" w:hAnsi="Calibri"/>
          <w:sz w:val="22"/>
          <w:szCs w:val="20"/>
        </w:rPr>
        <w:t>y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bud</w:t>
      </w:r>
      <w:r>
        <w:rPr>
          <w:rStyle w:val="Zdraznnjemn"/>
          <w:rFonts w:ascii="Calibri" w:hAnsi="Calibri"/>
          <w:sz w:val="22"/>
          <w:szCs w:val="20"/>
        </w:rPr>
        <w:t>ou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ocelov</w:t>
      </w:r>
      <w:r>
        <w:rPr>
          <w:rStyle w:val="Zdraznnjemn"/>
          <w:rFonts w:ascii="Calibri" w:hAnsi="Calibri"/>
          <w:sz w:val="22"/>
          <w:szCs w:val="20"/>
        </w:rPr>
        <w:t>é</w:t>
      </w:r>
      <w:r w:rsidRPr="001C0EB1">
        <w:rPr>
          <w:rStyle w:val="Zdraznnjemn"/>
          <w:rFonts w:ascii="Calibri" w:hAnsi="Calibri"/>
          <w:sz w:val="22"/>
          <w:szCs w:val="20"/>
        </w:rPr>
        <w:t>, žárově zinkovan</w:t>
      </w:r>
      <w:r>
        <w:rPr>
          <w:rStyle w:val="Zdraznnjemn"/>
          <w:rFonts w:ascii="Calibri" w:hAnsi="Calibri"/>
          <w:sz w:val="22"/>
          <w:szCs w:val="20"/>
        </w:rPr>
        <w:t>é s konečnou povrchovou úpravou černé barvy</w:t>
      </w:r>
      <w:r w:rsidR="000235E9">
        <w:rPr>
          <w:rStyle w:val="Zdraznnjemn"/>
          <w:rFonts w:ascii="Calibri" w:hAnsi="Calibri"/>
          <w:sz w:val="22"/>
          <w:szCs w:val="20"/>
        </w:rPr>
        <w:t>,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</w:t>
      </w:r>
      <w:r>
        <w:rPr>
          <w:rStyle w:val="Zdraznnjemn"/>
          <w:rFonts w:ascii="Calibri" w:hAnsi="Calibri"/>
          <w:sz w:val="22"/>
          <w:szCs w:val="20"/>
        </w:rPr>
        <w:t xml:space="preserve">nadzemní 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výšky </w:t>
      </w:r>
      <w:r>
        <w:rPr>
          <w:rStyle w:val="Zdraznnjemn"/>
          <w:rFonts w:ascii="Calibri" w:hAnsi="Calibri"/>
          <w:sz w:val="22"/>
          <w:szCs w:val="20"/>
        </w:rPr>
        <w:t>6</w:t>
      </w:r>
      <w:r w:rsidRPr="001C0EB1">
        <w:rPr>
          <w:rStyle w:val="Zdraznnjemn"/>
          <w:rFonts w:ascii="Calibri" w:hAnsi="Calibri"/>
          <w:sz w:val="22"/>
          <w:szCs w:val="20"/>
        </w:rPr>
        <w:t>m</w:t>
      </w:r>
      <w:r>
        <w:rPr>
          <w:rStyle w:val="Zdraznnjemn"/>
          <w:rFonts w:ascii="Calibri" w:hAnsi="Calibri"/>
          <w:sz w:val="22"/>
          <w:szCs w:val="20"/>
        </w:rPr>
        <w:t>, T výložník 180° (výška světelného bodu 6m)</w:t>
      </w:r>
      <w:r w:rsidR="00704CDC">
        <w:rPr>
          <w:rStyle w:val="Zdraznnjemn"/>
          <w:rFonts w:ascii="Calibri" w:hAnsi="Calibri"/>
          <w:sz w:val="22"/>
          <w:szCs w:val="20"/>
        </w:rPr>
        <w:t>, instalová</w:t>
      </w:r>
      <w:r w:rsidRPr="001C0EB1">
        <w:rPr>
          <w:rStyle w:val="Zdraznnjemn"/>
          <w:rFonts w:ascii="Calibri" w:hAnsi="Calibri"/>
          <w:sz w:val="22"/>
          <w:szCs w:val="20"/>
        </w:rPr>
        <w:t>n</w:t>
      </w:r>
      <w:r w:rsidR="00704CDC">
        <w:rPr>
          <w:rStyle w:val="Zdraznnjemn"/>
          <w:rFonts w:ascii="Calibri" w:hAnsi="Calibri"/>
          <w:sz w:val="22"/>
          <w:szCs w:val="20"/>
        </w:rPr>
        <w:t>y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dle montážního návodu výrobce</w:t>
      </w:r>
      <w:r>
        <w:rPr>
          <w:rStyle w:val="Zdraznnjemn"/>
          <w:rFonts w:ascii="Calibri" w:hAnsi="Calibri"/>
          <w:sz w:val="22"/>
          <w:szCs w:val="20"/>
        </w:rPr>
        <w:t>.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</w:t>
      </w:r>
      <w:r>
        <w:rPr>
          <w:rStyle w:val="Zdraznnjemn"/>
          <w:rFonts w:ascii="Calibri" w:hAnsi="Calibri"/>
          <w:sz w:val="22"/>
          <w:szCs w:val="20"/>
        </w:rPr>
        <w:t>Budou použity přírubové stožáry, které se ukotví na chemické kotvy do betonového tělesa střechy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. </w:t>
      </w:r>
      <w:r w:rsidR="00EC1127">
        <w:rPr>
          <w:rStyle w:val="Zdraznnjemn"/>
          <w:rFonts w:ascii="Calibri" w:hAnsi="Calibri"/>
          <w:sz w:val="22"/>
          <w:szCs w:val="20"/>
        </w:rPr>
        <w:t>Nové stožáry VO budou napájeny novými kabely 1-CYKY-J 5x16 ze stávajícího rozvaděče VO, nové k</w:t>
      </w:r>
      <w:r>
        <w:rPr>
          <w:rStyle w:val="Zdraznnjemn"/>
          <w:rFonts w:ascii="Calibri" w:hAnsi="Calibri"/>
          <w:sz w:val="22"/>
          <w:szCs w:val="20"/>
        </w:rPr>
        <w:t xml:space="preserve">abely budou </w:t>
      </w:r>
      <w:r w:rsidR="00EC1127">
        <w:rPr>
          <w:rStyle w:val="Zdraznnjemn"/>
          <w:rFonts w:ascii="Calibri" w:hAnsi="Calibri"/>
          <w:sz w:val="22"/>
          <w:szCs w:val="20"/>
        </w:rPr>
        <w:t>uloženy v závitové ocelové trubce 40mm, žárově zinkované, instalované na povrchu ve svodidle. D</w:t>
      </w:r>
      <w:r>
        <w:rPr>
          <w:rStyle w:val="Zdraznnjemn"/>
          <w:rFonts w:ascii="Calibri" w:hAnsi="Calibri"/>
          <w:sz w:val="22"/>
          <w:szCs w:val="20"/>
        </w:rPr>
        <w:t xml:space="preserve">o stožárů </w:t>
      </w:r>
      <w:r w:rsidR="00EC1127">
        <w:rPr>
          <w:rStyle w:val="Zdraznnjemn"/>
          <w:rFonts w:ascii="Calibri" w:hAnsi="Calibri"/>
          <w:sz w:val="22"/>
          <w:szCs w:val="20"/>
        </w:rPr>
        <w:t xml:space="preserve">budou kabely </w:t>
      </w:r>
      <w:r>
        <w:rPr>
          <w:rStyle w:val="Zdraznnjemn"/>
          <w:rFonts w:ascii="Calibri" w:hAnsi="Calibri"/>
          <w:sz w:val="22"/>
          <w:szCs w:val="20"/>
        </w:rPr>
        <w:t>zataženy v</w:t>
      </w:r>
      <w:r w:rsidR="000D4174">
        <w:rPr>
          <w:rStyle w:val="Zdraznnjemn"/>
          <w:rFonts w:ascii="Calibri" w:hAnsi="Calibri"/>
          <w:sz w:val="22"/>
          <w:szCs w:val="20"/>
        </w:rPr>
        <w:t xml:space="preserve"> ohebné </w:t>
      </w:r>
      <w:r>
        <w:rPr>
          <w:rStyle w:val="Zdraznnjemn"/>
          <w:rFonts w:ascii="Calibri" w:hAnsi="Calibri"/>
          <w:sz w:val="22"/>
          <w:szCs w:val="20"/>
        </w:rPr>
        <w:t xml:space="preserve">ochranné trubce </w:t>
      </w:r>
      <w:r w:rsidR="000D4174">
        <w:rPr>
          <w:rStyle w:val="Zdraznnjemn"/>
          <w:rFonts w:ascii="Calibri" w:hAnsi="Calibri"/>
          <w:sz w:val="22"/>
          <w:szCs w:val="20"/>
        </w:rPr>
        <w:t>32mm, UV stabilní,</w:t>
      </w:r>
      <w:r w:rsidR="00396A4D">
        <w:rPr>
          <w:rStyle w:val="Zdraznnjemn"/>
          <w:rFonts w:ascii="Calibri" w:hAnsi="Calibri"/>
          <w:sz w:val="22"/>
          <w:szCs w:val="20"/>
        </w:rPr>
        <w:t xml:space="preserve"> </w:t>
      </w:r>
      <w:r w:rsidR="000D4174">
        <w:rPr>
          <w:rStyle w:val="Zdraznnjemn"/>
          <w:rFonts w:ascii="Calibri" w:hAnsi="Calibri"/>
          <w:sz w:val="22"/>
          <w:szCs w:val="20"/>
        </w:rPr>
        <w:t xml:space="preserve">s vysokou mechanickou odolností, </w:t>
      </w:r>
      <w:r w:rsidR="00396A4D">
        <w:rPr>
          <w:rStyle w:val="Zdraznnjemn"/>
          <w:rFonts w:ascii="Calibri" w:hAnsi="Calibri"/>
          <w:sz w:val="22"/>
          <w:szCs w:val="20"/>
        </w:rPr>
        <w:t>otvorem nad povrchem střechy (stejně</w:t>
      </w:r>
      <w:r>
        <w:rPr>
          <w:rStyle w:val="Zdraznnjemn"/>
          <w:rFonts w:ascii="Calibri" w:hAnsi="Calibri"/>
          <w:sz w:val="22"/>
          <w:szCs w:val="20"/>
        </w:rPr>
        <w:t xml:space="preserve"> jako stávající</w:t>
      </w:r>
      <w:r w:rsidR="000D4174">
        <w:rPr>
          <w:rStyle w:val="Zdraznnjemn"/>
          <w:rFonts w:ascii="Calibri" w:hAnsi="Calibri"/>
          <w:sz w:val="22"/>
          <w:szCs w:val="20"/>
        </w:rPr>
        <w:t xml:space="preserve"> sloupy</w:t>
      </w:r>
      <w:r w:rsidR="00396A4D">
        <w:rPr>
          <w:rStyle w:val="Zdraznnjemn"/>
          <w:rFonts w:ascii="Calibri" w:hAnsi="Calibri"/>
          <w:sz w:val="22"/>
          <w:szCs w:val="20"/>
        </w:rPr>
        <w:t>)</w:t>
      </w:r>
      <w:r w:rsidRPr="001C0EB1">
        <w:rPr>
          <w:rStyle w:val="Zdraznnjemn"/>
          <w:rFonts w:ascii="Calibri" w:hAnsi="Calibri"/>
          <w:sz w:val="22"/>
          <w:szCs w:val="20"/>
        </w:rPr>
        <w:t>.</w:t>
      </w:r>
      <w:r w:rsidRPr="00E74945">
        <w:rPr>
          <w:rStyle w:val="Zdraznnjemn"/>
          <w:rFonts w:ascii="Calibri" w:hAnsi="Calibri"/>
          <w:sz w:val="22"/>
          <w:szCs w:val="20"/>
        </w:rPr>
        <w:t xml:space="preserve"> 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Kabelové vedení ve stožáru </w:t>
      </w:r>
      <w:r w:rsidR="00EC1127">
        <w:rPr>
          <w:rStyle w:val="Zdraznnjemn"/>
          <w:rFonts w:ascii="Calibri" w:hAnsi="Calibri"/>
          <w:sz w:val="22"/>
          <w:szCs w:val="20"/>
        </w:rPr>
        <w:t xml:space="preserve">bude kabely 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CYKY-J </w:t>
      </w:r>
      <w:r w:rsidR="00EC1127">
        <w:rPr>
          <w:rStyle w:val="Zdraznnjemn"/>
          <w:rFonts w:ascii="Calibri" w:hAnsi="Calibri"/>
          <w:sz w:val="22"/>
          <w:szCs w:val="20"/>
        </w:rPr>
        <w:t>3x1,5 (</w:t>
      </w:r>
      <w:r w:rsidRPr="001C0EB1">
        <w:rPr>
          <w:rStyle w:val="Zdraznnjemn"/>
          <w:rFonts w:ascii="Calibri" w:hAnsi="Calibri"/>
          <w:sz w:val="22"/>
          <w:szCs w:val="20"/>
        </w:rPr>
        <w:t>od stožárové svorkovnice ke svítidlu</w:t>
      </w:r>
      <w:r w:rsidR="00EC1127">
        <w:rPr>
          <w:rStyle w:val="Zdraznnjemn"/>
          <w:rFonts w:ascii="Calibri" w:hAnsi="Calibri"/>
          <w:sz w:val="22"/>
          <w:szCs w:val="20"/>
        </w:rPr>
        <w:t>)</w:t>
      </w:r>
      <w:r w:rsidRPr="001C0EB1">
        <w:rPr>
          <w:rStyle w:val="Zdraznnjemn"/>
          <w:rFonts w:ascii="Calibri" w:hAnsi="Calibri"/>
          <w:sz w:val="22"/>
          <w:szCs w:val="20"/>
        </w:rPr>
        <w:t>.</w:t>
      </w:r>
      <w:r>
        <w:rPr>
          <w:rStyle w:val="Zdraznnjemn"/>
          <w:rFonts w:ascii="Calibri" w:hAnsi="Calibri"/>
          <w:sz w:val="22"/>
          <w:szCs w:val="20"/>
        </w:rPr>
        <w:t xml:space="preserve"> </w:t>
      </w:r>
      <w:r w:rsidRPr="001C0EB1">
        <w:rPr>
          <w:rStyle w:val="Zdraznnjemn"/>
          <w:rFonts w:ascii="Calibri" w:hAnsi="Calibri"/>
          <w:sz w:val="22"/>
          <w:szCs w:val="20"/>
        </w:rPr>
        <w:t>ČSN 33 2000-7-714 požaduje navíc po o</w:t>
      </w:r>
      <w:r w:rsidR="00EC1127">
        <w:rPr>
          <w:rStyle w:val="Zdraznnjemn"/>
          <w:rFonts w:ascii="Calibri" w:hAnsi="Calibri"/>
          <w:sz w:val="22"/>
          <w:szCs w:val="20"/>
        </w:rPr>
        <w:t>tevření dvířek stožáru krytí elektrického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zařízení IP20, není tedy možno použít otevřených svorkovnic. Navrhují se svorkovnice s krytím IP 54.</w:t>
      </w:r>
    </w:p>
    <w:p w:rsidR="00372F8C" w:rsidRPr="006F0AAE" w:rsidRDefault="007D07D6" w:rsidP="00396A4D">
      <w:pPr>
        <w:ind w:left="426" w:firstLine="426"/>
        <w:rPr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0"/>
        </w:rPr>
        <w:t>S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vítidla </w:t>
      </w:r>
      <w:r w:rsidR="00FE3193">
        <w:rPr>
          <w:rStyle w:val="Zdraznnjemn"/>
          <w:rFonts w:ascii="Calibri" w:hAnsi="Calibri"/>
          <w:sz w:val="22"/>
          <w:szCs w:val="20"/>
        </w:rPr>
        <w:t>by měla</w:t>
      </w:r>
      <w:r>
        <w:rPr>
          <w:rStyle w:val="Zdraznnjemn"/>
          <w:rFonts w:ascii="Calibri" w:hAnsi="Calibri"/>
          <w:sz w:val="22"/>
          <w:szCs w:val="20"/>
        </w:rPr>
        <w:t xml:space="preserve"> být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vybavena systémem </w:t>
      </w:r>
      <w:r w:rsidR="00FE3193">
        <w:rPr>
          <w:rStyle w:val="Zdraznnjemn"/>
          <w:rFonts w:ascii="Calibri" w:hAnsi="Calibri"/>
          <w:sz w:val="22"/>
          <w:szCs w:val="20"/>
        </w:rPr>
        <w:t xml:space="preserve">pro 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udržování konstantního světelného toku. Životnost </w:t>
      </w:r>
      <w:r>
        <w:rPr>
          <w:rStyle w:val="Zdraznnjemn"/>
          <w:rFonts w:ascii="Calibri" w:hAnsi="Calibri"/>
          <w:sz w:val="22"/>
          <w:szCs w:val="20"/>
        </w:rPr>
        <w:t xml:space="preserve">svítidel </w:t>
      </w:r>
      <w:r w:rsidRPr="001C0EB1">
        <w:rPr>
          <w:rStyle w:val="Zdraznnjemn"/>
          <w:rFonts w:ascii="Calibri" w:hAnsi="Calibri"/>
          <w:sz w:val="22"/>
          <w:szCs w:val="20"/>
        </w:rPr>
        <w:t>LED</w:t>
      </w:r>
      <w:r>
        <w:rPr>
          <w:rStyle w:val="Zdraznnjemn"/>
          <w:rFonts w:ascii="Calibri" w:hAnsi="Calibri"/>
          <w:sz w:val="22"/>
          <w:szCs w:val="20"/>
        </w:rPr>
        <w:t xml:space="preserve"> technologie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je </w:t>
      </w:r>
      <w:r>
        <w:rPr>
          <w:rStyle w:val="Zdraznnjemn"/>
          <w:rFonts w:ascii="Calibri" w:hAnsi="Calibri"/>
          <w:sz w:val="22"/>
          <w:szCs w:val="20"/>
        </w:rPr>
        <w:t>navržena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na </w:t>
      </w:r>
      <w:r>
        <w:rPr>
          <w:rStyle w:val="Zdraznnjemn"/>
          <w:rFonts w:ascii="Calibri" w:hAnsi="Calibri"/>
          <w:sz w:val="22"/>
          <w:szCs w:val="20"/>
        </w:rPr>
        <w:t>minimálně 1</w:t>
      </w:r>
      <w:r w:rsidR="00BA29B3">
        <w:rPr>
          <w:rStyle w:val="Zdraznnjemn"/>
          <w:rFonts w:ascii="Calibri" w:hAnsi="Calibri"/>
          <w:sz w:val="22"/>
          <w:szCs w:val="20"/>
        </w:rPr>
        <w:t>2</w:t>
      </w:r>
      <w:r w:rsidRPr="001C0EB1">
        <w:rPr>
          <w:rStyle w:val="Zdraznnjemn"/>
          <w:rFonts w:ascii="Calibri" w:hAnsi="Calibri"/>
          <w:sz w:val="22"/>
          <w:szCs w:val="20"/>
        </w:rPr>
        <w:t>0</w:t>
      </w:r>
      <w:r>
        <w:rPr>
          <w:rStyle w:val="Zdraznnjemn"/>
          <w:rFonts w:ascii="Calibri" w:hAnsi="Calibri"/>
          <w:sz w:val="22"/>
          <w:szCs w:val="20"/>
        </w:rPr>
        <w:t>‘</w:t>
      </w:r>
      <w:r w:rsidRPr="001C0EB1">
        <w:rPr>
          <w:rStyle w:val="Zdraznnjemn"/>
          <w:rFonts w:ascii="Calibri" w:hAnsi="Calibri"/>
          <w:sz w:val="22"/>
          <w:szCs w:val="20"/>
        </w:rPr>
        <w:t>000</w:t>
      </w:r>
      <w:r w:rsidR="00BA29B3">
        <w:rPr>
          <w:rStyle w:val="Zdraznnjemn"/>
          <w:rFonts w:ascii="Calibri" w:hAnsi="Calibri"/>
          <w:sz w:val="22"/>
          <w:szCs w:val="20"/>
        </w:rPr>
        <w:t xml:space="preserve"> </w:t>
      </w:r>
      <w:r w:rsidRPr="001C0EB1">
        <w:rPr>
          <w:rStyle w:val="Zdraznnjemn"/>
          <w:rFonts w:ascii="Calibri" w:hAnsi="Calibri"/>
          <w:sz w:val="22"/>
          <w:szCs w:val="20"/>
        </w:rPr>
        <w:t>h</w:t>
      </w:r>
      <w:r w:rsidR="00BA29B3">
        <w:rPr>
          <w:rStyle w:val="Zdraznnjemn"/>
          <w:rFonts w:ascii="Calibri" w:hAnsi="Calibri"/>
          <w:sz w:val="22"/>
          <w:szCs w:val="20"/>
        </w:rPr>
        <w:t>odin</w:t>
      </w:r>
      <w:r w:rsidRPr="001C0EB1">
        <w:rPr>
          <w:rStyle w:val="Zdraznnjemn"/>
          <w:rFonts w:ascii="Calibri" w:hAnsi="Calibri"/>
          <w:sz w:val="22"/>
          <w:szCs w:val="20"/>
        </w:rPr>
        <w:t xml:space="preserve"> provozu,</w:t>
      </w:r>
      <w:r>
        <w:rPr>
          <w:rStyle w:val="Zdraznnjemn"/>
          <w:rFonts w:ascii="Calibri" w:hAnsi="Calibri"/>
          <w:sz w:val="22"/>
          <w:szCs w:val="20"/>
        </w:rPr>
        <w:t xml:space="preserve"> </w:t>
      </w:r>
      <w:r w:rsidR="00BA29B3">
        <w:rPr>
          <w:rStyle w:val="Zdraznnjemn"/>
          <w:rFonts w:ascii="Calibri" w:hAnsi="Calibri"/>
          <w:sz w:val="22"/>
          <w:szCs w:val="20"/>
        </w:rPr>
        <w:t xml:space="preserve">29W, </w:t>
      </w:r>
      <w:r>
        <w:rPr>
          <w:rStyle w:val="Zdraznnjemn"/>
          <w:rFonts w:ascii="Calibri" w:hAnsi="Calibri"/>
          <w:sz w:val="22"/>
          <w:szCs w:val="20"/>
        </w:rPr>
        <w:t xml:space="preserve">IP66, světlený tok svítidla minimálně </w:t>
      </w:r>
      <w:r w:rsidR="00082499">
        <w:rPr>
          <w:rStyle w:val="Zdraznnjemn"/>
          <w:rFonts w:ascii="Calibri" w:hAnsi="Calibri"/>
          <w:sz w:val="22"/>
          <w:szCs w:val="20"/>
        </w:rPr>
        <w:t>35</w:t>
      </w:r>
      <w:r w:rsidR="00BA29B3">
        <w:rPr>
          <w:rStyle w:val="Zdraznnjemn"/>
          <w:rFonts w:ascii="Calibri" w:hAnsi="Calibri"/>
          <w:sz w:val="22"/>
          <w:szCs w:val="20"/>
        </w:rPr>
        <w:t>9</w:t>
      </w:r>
      <w:r w:rsidR="00082499">
        <w:rPr>
          <w:rStyle w:val="Zdraznnjemn"/>
          <w:rFonts w:ascii="Calibri" w:hAnsi="Calibri"/>
          <w:sz w:val="22"/>
          <w:szCs w:val="20"/>
        </w:rPr>
        <w:t>0</w:t>
      </w:r>
      <w:r>
        <w:rPr>
          <w:rStyle w:val="Zdraznnjemn"/>
          <w:rFonts w:ascii="Calibri" w:hAnsi="Calibri"/>
          <w:sz w:val="22"/>
          <w:szCs w:val="20"/>
        </w:rPr>
        <w:t>lm</w:t>
      </w:r>
      <w:r w:rsidR="00BA29B3">
        <w:rPr>
          <w:rStyle w:val="Zdraznnjemn"/>
          <w:rFonts w:ascii="Calibri" w:hAnsi="Calibri"/>
          <w:sz w:val="22"/>
          <w:szCs w:val="20"/>
        </w:rPr>
        <w:t>, teplota chromatičnosti 4000K</w:t>
      </w:r>
      <w:r>
        <w:rPr>
          <w:rStyle w:val="Zdraznnjemn"/>
          <w:rFonts w:ascii="Calibri" w:hAnsi="Calibri"/>
          <w:sz w:val="22"/>
          <w:szCs w:val="20"/>
        </w:rPr>
        <w:t>.</w:t>
      </w:r>
      <w:r w:rsidR="00E81F2D">
        <w:rPr>
          <w:rStyle w:val="Zdraznnjemn"/>
          <w:rFonts w:ascii="Calibri" w:hAnsi="Calibri"/>
          <w:sz w:val="22"/>
          <w:szCs w:val="20"/>
        </w:rPr>
        <w:t xml:space="preserve"> Ovládání osvětlení bude </w:t>
      </w:r>
      <w:r w:rsidR="00BA29B3">
        <w:rPr>
          <w:rStyle w:val="Zdraznnjemn"/>
          <w:rFonts w:ascii="Calibri" w:hAnsi="Calibri"/>
          <w:sz w:val="22"/>
          <w:szCs w:val="20"/>
        </w:rPr>
        <w:t>stávajícím způsobem</w:t>
      </w:r>
      <w:r w:rsidR="00E81F2D">
        <w:rPr>
          <w:rStyle w:val="Zdraznnjemn"/>
          <w:rFonts w:ascii="Calibri" w:hAnsi="Calibri"/>
          <w:sz w:val="22"/>
          <w:szCs w:val="20"/>
        </w:rPr>
        <w:t>.</w:t>
      </w:r>
    </w:p>
    <w:p w:rsidR="007B5D81" w:rsidRPr="006F0AAE" w:rsidRDefault="007B5D81" w:rsidP="00396A4D">
      <w:pPr>
        <w:pStyle w:val="dka"/>
        <w:ind w:left="426"/>
        <w:jc w:val="both"/>
        <w:rPr>
          <w:rFonts w:asciiTheme="minorHAnsi" w:hAnsiTheme="minorHAnsi"/>
          <w:b/>
        </w:rPr>
      </w:pPr>
    </w:p>
    <w:p w:rsidR="00090709" w:rsidRPr="006F0AAE" w:rsidRDefault="00082499" w:rsidP="00090709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7" w:name="_Toc534275256"/>
      <w:r>
        <w:t xml:space="preserve">Napájení </w:t>
      </w:r>
      <w:r w:rsidR="003D1F89">
        <w:t xml:space="preserve">výtahu, </w:t>
      </w:r>
      <w:r>
        <w:t>slaboproudých</w:t>
      </w:r>
      <w:r w:rsidR="00090709" w:rsidRPr="006F0AAE">
        <w:t xml:space="preserve"> </w:t>
      </w:r>
      <w:r>
        <w:t>a</w:t>
      </w:r>
      <w:r w:rsidR="00090709" w:rsidRPr="006F0AAE">
        <w:t xml:space="preserve"> ostatních </w:t>
      </w:r>
      <w:r w:rsidR="006C334C" w:rsidRPr="006F0AAE">
        <w:t>zařízení</w:t>
      </w:r>
      <w:bookmarkEnd w:id="7"/>
    </w:p>
    <w:p w:rsidR="00CD10E9" w:rsidRDefault="00CD10E9" w:rsidP="00396A4D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Na střeše nástupiště bude instalován osobní výtah</w:t>
      </w:r>
      <w:r w:rsidR="007573F9">
        <w:rPr>
          <w:rStyle w:val="Zdraznnjemn"/>
          <w:rFonts w:ascii="Calibri" w:hAnsi="Calibri"/>
          <w:sz w:val="22"/>
          <w:szCs w:val="20"/>
        </w:rPr>
        <w:t xml:space="preserve"> (včetně přímotopného vytápění výtahové šachty, které </w:t>
      </w:r>
      <w:r w:rsidR="004D75C4">
        <w:rPr>
          <w:rStyle w:val="Zdraznnjemn"/>
          <w:rFonts w:ascii="Calibri" w:hAnsi="Calibri"/>
          <w:sz w:val="22"/>
          <w:szCs w:val="20"/>
        </w:rPr>
        <w:t>bude připojeno z rozvaděče výtahu a</w:t>
      </w:r>
      <w:r w:rsidR="007573F9">
        <w:rPr>
          <w:rStyle w:val="Zdraznnjemn"/>
          <w:rFonts w:ascii="Calibri" w:hAnsi="Calibri"/>
          <w:sz w:val="22"/>
          <w:szCs w:val="20"/>
        </w:rPr>
        <w:t xml:space="preserve"> </w:t>
      </w:r>
      <w:r w:rsidR="004D75C4">
        <w:rPr>
          <w:rStyle w:val="Zdraznnjemn"/>
          <w:rFonts w:ascii="Calibri" w:hAnsi="Calibri"/>
          <w:sz w:val="22"/>
          <w:szCs w:val="20"/>
        </w:rPr>
        <w:t xml:space="preserve">bude </w:t>
      </w:r>
      <w:r w:rsidR="007573F9">
        <w:rPr>
          <w:rStyle w:val="Zdraznnjemn"/>
          <w:rFonts w:ascii="Calibri" w:hAnsi="Calibri"/>
          <w:sz w:val="22"/>
          <w:szCs w:val="20"/>
        </w:rPr>
        <w:t>automaticky</w:t>
      </w:r>
      <w:r w:rsidR="004D75C4">
        <w:rPr>
          <w:rStyle w:val="Zdraznnjemn"/>
          <w:rFonts w:ascii="Calibri" w:hAnsi="Calibri"/>
          <w:sz w:val="22"/>
          <w:szCs w:val="20"/>
        </w:rPr>
        <w:t xml:space="preserve"> </w:t>
      </w:r>
      <w:r w:rsidR="007573F9">
        <w:rPr>
          <w:rStyle w:val="Zdraznnjemn"/>
          <w:rFonts w:ascii="Calibri" w:hAnsi="Calibri"/>
          <w:sz w:val="22"/>
          <w:szCs w:val="20"/>
        </w:rPr>
        <w:t>vypn</w:t>
      </w:r>
      <w:r w:rsidR="004D75C4">
        <w:rPr>
          <w:rStyle w:val="Zdraznnjemn"/>
          <w:rFonts w:ascii="Calibri" w:hAnsi="Calibri"/>
          <w:sz w:val="22"/>
          <w:szCs w:val="20"/>
        </w:rPr>
        <w:t>uto</w:t>
      </w:r>
      <w:r w:rsidR="007573F9">
        <w:rPr>
          <w:rStyle w:val="Zdraznnjemn"/>
          <w:rFonts w:ascii="Calibri" w:hAnsi="Calibri"/>
          <w:sz w:val="22"/>
          <w:szCs w:val="20"/>
        </w:rPr>
        <w:t xml:space="preserve"> při zapnutí výtahu) -</w:t>
      </w:r>
      <w:r>
        <w:rPr>
          <w:rStyle w:val="Zdraznnjemn"/>
          <w:rFonts w:ascii="Calibri" w:hAnsi="Calibri"/>
          <w:sz w:val="22"/>
          <w:szCs w:val="20"/>
        </w:rPr>
        <w:t xml:space="preserve"> bude napájen z nového rozvaděče RPVH kabelem CYKY-J 5x4.</w:t>
      </w:r>
      <w:r w:rsidR="001764E8">
        <w:rPr>
          <w:rStyle w:val="Zdraznnjemn"/>
          <w:rFonts w:ascii="Calibri" w:hAnsi="Calibri"/>
          <w:sz w:val="22"/>
          <w:szCs w:val="20"/>
        </w:rPr>
        <w:t xml:space="preserve"> Kabel bude veden v kabelových žlabech pod střechou, prostupem skrz střechu a na střeše v ochranné trubce uložené v betonu nebo v ocelové trubce na povrchu ve svodidle.</w:t>
      </w:r>
    </w:p>
    <w:p w:rsidR="00EE6F64" w:rsidRDefault="00EE6F64" w:rsidP="00396A4D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6F0AAE">
        <w:rPr>
          <w:rStyle w:val="Zdraznnjemn"/>
          <w:rFonts w:ascii="Calibri" w:hAnsi="Calibri"/>
          <w:sz w:val="22"/>
          <w:szCs w:val="20"/>
        </w:rPr>
        <w:t xml:space="preserve">Napájení </w:t>
      </w:r>
      <w:r>
        <w:rPr>
          <w:rStyle w:val="Zdraznnjemn"/>
          <w:rFonts w:ascii="Calibri" w:hAnsi="Calibri"/>
          <w:sz w:val="22"/>
          <w:szCs w:val="20"/>
        </w:rPr>
        <w:t>pokladny parkovacího systému bude kabelem CYKY-J 3x2,5 z nového rozvaděče RPVH. Kabel bude veden v kabelových žlabech pod střechou, prostupem skrz střechu a na střeše v ochranné trubce uložené v betonu nebo v ocelové trubce na povrchu ve svodidle.</w:t>
      </w:r>
    </w:p>
    <w:p w:rsidR="00EE6F64" w:rsidRDefault="00E45796" w:rsidP="00396A4D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Na střeše nástupiště budou nově instalovány vjezdový a výjezdový terminál a vjezdové a výjezdové závory, tato zařízení budou napájena z nového rozvaděče RPVH kabely CYKY-J 3x2,5. Kabely budou vedeny v kabelových žlabech pod střechou, prostupem skrz střechu a na střeše v ochranné trubce uložené v betonu nebo v ocelové trubce na povrchu ve svodidle.</w:t>
      </w:r>
    </w:p>
    <w:p w:rsidR="00E45796" w:rsidRPr="00E45796" w:rsidRDefault="00E45796" w:rsidP="00396A4D">
      <w:pPr>
        <w:pStyle w:val="dka"/>
        <w:ind w:left="426"/>
        <w:jc w:val="both"/>
        <w:rPr>
          <w:rFonts w:asciiTheme="minorHAnsi" w:hAnsiTheme="minorHAnsi"/>
        </w:rPr>
      </w:pPr>
    </w:p>
    <w:p w:rsidR="00E14BF7" w:rsidRPr="006F0AAE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8" w:name="_Toc534275257"/>
      <w:r w:rsidRPr="006F0AAE">
        <w:t>Kabelové rozvody</w:t>
      </w:r>
      <w:bookmarkEnd w:id="8"/>
    </w:p>
    <w:p w:rsidR="00E14BF7" w:rsidRPr="006F0AAE" w:rsidRDefault="00704CDC" w:rsidP="00396A4D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  <w:t>Silnoproud</w:t>
      </w:r>
      <w:r w:rsidR="00E14BF7" w:rsidRPr="006F0AAE">
        <w:rPr>
          <w:rStyle w:val="Zdraznnjemn"/>
          <w:rFonts w:ascii="Calibri" w:hAnsi="Calibri"/>
          <w:sz w:val="22"/>
          <w:szCs w:val="22"/>
        </w:rPr>
        <w:t>á elektroinstalace je navržena kabely CYKY:</w:t>
      </w:r>
    </w:p>
    <w:p w:rsidR="00E14BF7" w:rsidRDefault="00372F8C" w:rsidP="00396A4D">
      <w:pPr>
        <w:pStyle w:val="Odstavecseseznamem"/>
        <w:numPr>
          <w:ilvl w:val="0"/>
          <w:numId w:val="45"/>
        </w:numPr>
        <w:suppressAutoHyphens/>
        <w:autoSpaceDN w:val="0"/>
        <w:spacing w:before="0"/>
        <w:textAlignment w:val="baseline"/>
        <w:rPr>
          <w:rStyle w:val="Zdraznnjemn"/>
          <w:rFonts w:ascii="Calibri" w:hAnsi="Calibri"/>
          <w:sz w:val="22"/>
          <w:szCs w:val="22"/>
        </w:rPr>
      </w:pPr>
      <w:r w:rsidRPr="00DA763C">
        <w:rPr>
          <w:rStyle w:val="Zdraznnjemn"/>
          <w:rFonts w:ascii="Calibri" w:hAnsi="Calibri"/>
          <w:sz w:val="22"/>
          <w:szCs w:val="22"/>
        </w:rPr>
        <w:t xml:space="preserve">pod </w:t>
      </w:r>
      <w:r w:rsidR="00DA763C" w:rsidRPr="00DA763C">
        <w:rPr>
          <w:rStyle w:val="Zdraznnjemn"/>
          <w:rFonts w:ascii="Calibri" w:hAnsi="Calibri"/>
          <w:sz w:val="22"/>
          <w:szCs w:val="22"/>
        </w:rPr>
        <w:t>střechou</w:t>
      </w:r>
      <w:r w:rsidR="00DA763C">
        <w:rPr>
          <w:rStyle w:val="Zdraznnjemn"/>
          <w:rFonts w:ascii="Calibri" w:hAnsi="Calibri"/>
          <w:sz w:val="22"/>
          <w:szCs w:val="22"/>
        </w:rPr>
        <w:t xml:space="preserve"> </w:t>
      </w:r>
      <w:r w:rsidR="00E14BF7" w:rsidRPr="00DA763C">
        <w:rPr>
          <w:rStyle w:val="Zdraznnjemn"/>
          <w:rFonts w:ascii="Calibri" w:hAnsi="Calibri"/>
          <w:sz w:val="22"/>
          <w:szCs w:val="22"/>
        </w:rPr>
        <w:t xml:space="preserve">ve </w:t>
      </w:r>
      <w:r w:rsidR="00EF13CD" w:rsidRPr="00DA763C">
        <w:rPr>
          <w:rStyle w:val="Zdraznnjemn"/>
          <w:rFonts w:ascii="Calibri" w:hAnsi="Calibri"/>
          <w:sz w:val="22"/>
          <w:szCs w:val="22"/>
        </w:rPr>
        <w:t>žlabech</w:t>
      </w:r>
      <w:r w:rsidR="00826691" w:rsidRPr="00DA763C">
        <w:rPr>
          <w:rStyle w:val="Zdraznnjemn"/>
          <w:rFonts w:ascii="Calibri" w:hAnsi="Calibri"/>
          <w:sz w:val="22"/>
          <w:szCs w:val="22"/>
        </w:rPr>
        <w:t xml:space="preserve"> z plného (neděrovaného) plechu</w:t>
      </w:r>
      <w:r w:rsidRPr="00DA763C">
        <w:rPr>
          <w:rStyle w:val="Zdraznnjemn"/>
          <w:rFonts w:ascii="Calibri" w:hAnsi="Calibri"/>
          <w:sz w:val="22"/>
          <w:szCs w:val="22"/>
        </w:rPr>
        <w:t xml:space="preserve"> na konstrukci pod přístřeškem</w:t>
      </w:r>
      <w:r w:rsidR="00DA763C">
        <w:rPr>
          <w:rStyle w:val="Zdraznnjemn"/>
          <w:rFonts w:ascii="Calibri" w:hAnsi="Calibri"/>
          <w:sz w:val="22"/>
          <w:szCs w:val="22"/>
        </w:rPr>
        <w:t xml:space="preserve"> nebo v PVC trubkách</w:t>
      </w:r>
    </w:p>
    <w:p w:rsidR="00DA763C" w:rsidRDefault="00E45796" w:rsidP="00396A4D">
      <w:pPr>
        <w:pStyle w:val="Odstavecseseznamem"/>
        <w:numPr>
          <w:ilvl w:val="0"/>
          <w:numId w:val="45"/>
        </w:numPr>
        <w:suppressAutoHyphens/>
        <w:autoSpaceDN w:val="0"/>
        <w:spacing w:before="0"/>
        <w:textAlignment w:val="baseline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nad střechou v ocel</w:t>
      </w:r>
      <w:r w:rsidR="00DA763C">
        <w:rPr>
          <w:rStyle w:val="Zdraznnjemn"/>
          <w:rFonts w:ascii="Calibri" w:hAnsi="Calibri"/>
          <w:sz w:val="22"/>
          <w:szCs w:val="22"/>
        </w:rPr>
        <w:t xml:space="preserve">ových trubkách </w:t>
      </w:r>
      <w:r>
        <w:rPr>
          <w:rStyle w:val="Zdraznnjemn"/>
          <w:rFonts w:ascii="Calibri" w:hAnsi="Calibri"/>
          <w:sz w:val="22"/>
          <w:szCs w:val="22"/>
        </w:rPr>
        <w:t>na povrchu ve</w:t>
      </w:r>
      <w:r w:rsidR="00DA763C">
        <w:rPr>
          <w:rStyle w:val="Zdraznnjemn"/>
          <w:rFonts w:ascii="Calibri" w:hAnsi="Calibri"/>
          <w:sz w:val="22"/>
          <w:szCs w:val="22"/>
        </w:rPr>
        <w:t xml:space="preserve"> svodidlech (stávající trubky budou vyměněny za nové)</w:t>
      </w:r>
    </w:p>
    <w:p w:rsidR="00DA763C" w:rsidRPr="00DA763C" w:rsidRDefault="00DA763C" w:rsidP="00396A4D">
      <w:pPr>
        <w:pStyle w:val="Odstavecseseznamem"/>
        <w:numPr>
          <w:ilvl w:val="0"/>
          <w:numId w:val="45"/>
        </w:numPr>
        <w:suppressAutoHyphens/>
        <w:autoSpaceDN w:val="0"/>
        <w:spacing w:before="0"/>
        <w:textAlignment w:val="baseline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prostupy střechou budou řádně utěsněny proti vodě</w:t>
      </w:r>
    </w:p>
    <w:p w:rsidR="00E14BF7" w:rsidRPr="006F0AAE" w:rsidRDefault="00E14BF7" w:rsidP="00396A4D">
      <w:pPr>
        <w:spacing w:before="0"/>
        <w:ind w:left="426"/>
        <w:rPr>
          <w:rStyle w:val="Zdraznnjemn"/>
          <w:rFonts w:ascii="Calibri" w:hAnsi="Calibri"/>
          <w:sz w:val="22"/>
          <w:szCs w:val="22"/>
        </w:rPr>
      </w:pPr>
    </w:p>
    <w:p w:rsidR="00E14BF7" w:rsidRPr="006F0AAE" w:rsidRDefault="00E14BF7" w:rsidP="00396A4D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textAlignment w:val="baseline"/>
      </w:pPr>
      <w:bookmarkStart w:id="9" w:name="_Toc534275258"/>
      <w:r w:rsidRPr="006F0AAE">
        <w:t>Uzemnění</w:t>
      </w:r>
      <w:bookmarkEnd w:id="9"/>
    </w:p>
    <w:p w:rsidR="00E14BF7" w:rsidRDefault="00704CDC" w:rsidP="00396A4D">
      <w:pPr>
        <w:autoSpaceDE w:val="0"/>
        <w:adjustRightInd w:val="0"/>
        <w:spacing w:line="289" w:lineRule="atLeast"/>
        <w:ind w:left="426"/>
        <w:rPr>
          <w:rStyle w:val="Zdraznnjemn"/>
          <w:rFonts w:ascii="Calibri" w:hAnsi="Calibri"/>
          <w:sz w:val="22"/>
        </w:rPr>
      </w:pPr>
      <w:r>
        <w:rPr>
          <w:rStyle w:val="Zdraznnjemn"/>
          <w:rFonts w:ascii="Calibri" w:hAnsi="Calibri"/>
          <w:sz w:val="22"/>
        </w:rPr>
        <w:tab/>
      </w:r>
      <w:r w:rsidR="00BC2FC8" w:rsidRPr="006F0AAE">
        <w:rPr>
          <w:rStyle w:val="Zdraznnjemn"/>
          <w:rFonts w:ascii="Calibri" w:hAnsi="Calibri"/>
          <w:sz w:val="22"/>
        </w:rPr>
        <w:t>Je stávající a není řešeno touto dokumentací</w:t>
      </w:r>
      <w:r w:rsidR="00E14BF7" w:rsidRPr="006F0AAE">
        <w:rPr>
          <w:rStyle w:val="Zdraznnjemn"/>
          <w:rFonts w:ascii="Calibri" w:hAnsi="Calibri"/>
          <w:sz w:val="22"/>
        </w:rPr>
        <w:t>.</w:t>
      </w:r>
      <w:r w:rsidR="00BC2FC8" w:rsidRPr="006F0AAE">
        <w:rPr>
          <w:rStyle w:val="Zdraznnjemn"/>
          <w:rFonts w:ascii="Calibri" w:hAnsi="Calibri"/>
          <w:sz w:val="22"/>
        </w:rPr>
        <w:t xml:space="preserve"> </w:t>
      </w:r>
      <w:r w:rsidR="003055E6">
        <w:rPr>
          <w:rStyle w:val="Zdraznnjemn"/>
          <w:rFonts w:ascii="Calibri" w:hAnsi="Calibri"/>
          <w:sz w:val="22"/>
        </w:rPr>
        <w:t>Stožár</w:t>
      </w:r>
      <w:r w:rsidR="00BC2FC8" w:rsidRPr="006F0AAE">
        <w:rPr>
          <w:rStyle w:val="Zdraznnjemn"/>
          <w:rFonts w:ascii="Calibri" w:hAnsi="Calibri"/>
          <w:sz w:val="22"/>
        </w:rPr>
        <w:t>y</w:t>
      </w:r>
      <w:r w:rsidR="003055E6">
        <w:rPr>
          <w:rStyle w:val="Zdraznnjemn"/>
          <w:rFonts w:ascii="Calibri" w:hAnsi="Calibri"/>
          <w:sz w:val="22"/>
        </w:rPr>
        <w:t xml:space="preserve"> VO</w:t>
      </w:r>
      <w:r w:rsidR="00BC2FC8" w:rsidRPr="006F0AAE">
        <w:rPr>
          <w:rStyle w:val="Zdraznnjemn"/>
          <w:rFonts w:ascii="Calibri" w:hAnsi="Calibri"/>
          <w:sz w:val="22"/>
        </w:rPr>
        <w:t xml:space="preserve"> </w:t>
      </w:r>
      <w:r w:rsidR="003055E6">
        <w:rPr>
          <w:rStyle w:val="Zdraznnjemn"/>
          <w:rFonts w:ascii="Calibri" w:hAnsi="Calibri"/>
          <w:sz w:val="22"/>
        </w:rPr>
        <w:t xml:space="preserve">budou </w:t>
      </w:r>
      <w:r w:rsidR="00BC2FC8" w:rsidRPr="006F0AAE">
        <w:rPr>
          <w:rStyle w:val="Zdraznnjemn"/>
          <w:rFonts w:ascii="Calibri" w:hAnsi="Calibri"/>
          <w:sz w:val="22"/>
        </w:rPr>
        <w:t>uzemněny</w:t>
      </w:r>
      <w:r w:rsidR="003055E6">
        <w:rPr>
          <w:rStyle w:val="Zdraznnjemn"/>
          <w:rFonts w:ascii="Calibri" w:hAnsi="Calibri"/>
          <w:sz w:val="22"/>
        </w:rPr>
        <w:t xml:space="preserve"> pomocí kulatiny </w:t>
      </w:r>
      <w:proofErr w:type="spellStart"/>
      <w:r w:rsidR="003055E6">
        <w:rPr>
          <w:rStyle w:val="Zdraznnjemn"/>
          <w:rFonts w:ascii="Calibri" w:hAnsi="Calibri"/>
          <w:sz w:val="22"/>
        </w:rPr>
        <w:t>FeZn</w:t>
      </w:r>
      <w:proofErr w:type="spellEnd"/>
      <w:r>
        <w:rPr>
          <w:rStyle w:val="Zdraznnjemn"/>
          <w:rFonts w:ascii="Calibri" w:hAnsi="Calibri"/>
          <w:sz w:val="22"/>
        </w:rPr>
        <w:t xml:space="preserve"> </w:t>
      </w:r>
      <w:r w:rsidR="003055E6">
        <w:rPr>
          <w:rStyle w:val="Zdraznnjemn"/>
          <w:rFonts w:ascii="Calibri" w:hAnsi="Calibri"/>
          <w:sz w:val="22"/>
        </w:rPr>
        <w:t>8mm</w:t>
      </w:r>
      <w:r w:rsidR="00BC2FC8" w:rsidRPr="006F0AAE">
        <w:rPr>
          <w:rStyle w:val="Zdraznnjemn"/>
          <w:rFonts w:ascii="Calibri" w:hAnsi="Calibri"/>
          <w:sz w:val="22"/>
        </w:rPr>
        <w:t xml:space="preserve"> </w:t>
      </w:r>
      <w:r w:rsidR="003055E6">
        <w:rPr>
          <w:rStyle w:val="Zdraznnjemn"/>
          <w:rFonts w:ascii="Calibri" w:hAnsi="Calibri"/>
          <w:sz w:val="22"/>
        </w:rPr>
        <w:t xml:space="preserve">na </w:t>
      </w:r>
      <w:r w:rsidR="00BC2FC8" w:rsidRPr="006F0AAE">
        <w:rPr>
          <w:rStyle w:val="Zdraznnjemn"/>
          <w:rFonts w:ascii="Calibri" w:hAnsi="Calibri"/>
          <w:sz w:val="22"/>
        </w:rPr>
        <w:t>ocelovou příhradovou nosnou konstrukc</w:t>
      </w:r>
      <w:r w:rsidR="003055E6">
        <w:rPr>
          <w:rStyle w:val="Zdraznnjemn"/>
          <w:rFonts w:ascii="Calibri" w:hAnsi="Calibri"/>
          <w:sz w:val="22"/>
        </w:rPr>
        <w:t>i</w:t>
      </w:r>
      <w:r w:rsidR="00BC2FC8" w:rsidRPr="006F0AAE">
        <w:rPr>
          <w:rStyle w:val="Zdraznnjemn"/>
          <w:rFonts w:ascii="Calibri" w:hAnsi="Calibri"/>
          <w:sz w:val="22"/>
        </w:rPr>
        <w:t xml:space="preserve"> střechy</w:t>
      </w:r>
      <w:r w:rsidR="003055E6">
        <w:rPr>
          <w:rStyle w:val="Zdraznnjemn"/>
          <w:rFonts w:ascii="Calibri" w:hAnsi="Calibri"/>
          <w:sz w:val="22"/>
        </w:rPr>
        <w:t>, která je propojena s uzemněním a sama o sobě slouží jako náhodný zemnič</w:t>
      </w:r>
      <w:r w:rsidR="006436F1" w:rsidRPr="006F0AAE">
        <w:rPr>
          <w:rStyle w:val="Zdraznnjemn"/>
          <w:rFonts w:ascii="Calibri" w:hAnsi="Calibri"/>
          <w:sz w:val="22"/>
        </w:rPr>
        <w:t>.</w:t>
      </w:r>
    </w:p>
    <w:p w:rsidR="003C698A" w:rsidRPr="006F0AAE" w:rsidRDefault="00704CDC" w:rsidP="00396A4D">
      <w:pPr>
        <w:autoSpaceDE w:val="0"/>
        <w:adjustRightInd w:val="0"/>
        <w:spacing w:line="289" w:lineRule="atLeast"/>
        <w:ind w:left="426"/>
        <w:rPr>
          <w:rStyle w:val="Zdraznnjemn"/>
          <w:rFonts w:ascii="Calibri" w:hAnsi="Calibri"/>
          <w:sz w:val="22"/>
        </w:rPr>
      </w:pPr>
      <w:r>
        <w:rPr>
          <w:rStyle w:val="Zdraznnjemn"/>
          <w:rFonts w:ascii="Calibri" w:hAnsi="Calibri"/>
          <w:sz w:val="22"/>
        </w:rPr>
        <w:tab/>
      </w:r>
      <w:r w:rsidR="003C698A">
        <w:rPr>
          <w:rStyle w:val="Zdraznnjemn"/>
          <w:rFonts w:ascii="Calibri" w:hAnsi="Calibri"/>
          <w:sz w:val="22"/>
        </w:rPr>
        <w:t xml:space="preserve">Elektroinstalace bude chráněna ochranou proti přepětí. Bude použita koordinovaná ochrana typu 1+2 v rozvaděči </w:t>
      </w:r>
      <w:r w:rsidR="00E45796">
        <w:rPr>
          <w:rStyle w:val="Zdraznnjemn"/>
          <w:rFonts w:ascii="Calibri" w:hAnsi="Calibri"/>
          <w:sz w:val="22"/>
        </w:rPr>
        <w:t>RPVH</w:t>
      </w:r>
      <w:r w:rsidR="003C698A">
        <w:rPr>
          <w:rStyle w:val="Zdraznnjemn"/>
          <w:rFonts w:ascii="Calibri" w:hAnsi="Calibri"/>
          <w:sz w:val="22"/>
        </w:rPr>
        <w:t>.</w:t>
      </w:r>
    </w:p>
    <w:p w:rsidR="003055E6" w:rsidRPr="006F0AAE" w:rsidRDefault="003055E6" w:rsidP="00396A4D">
      <w:pPr>
        <w:spacing w:before="0"/>
        <w:ind w:left="426"/>
        <w:rPr>
          <w:rStyle w:val="Zdraznnjemn"/>
          <w:rFonts w:ascii="Calibri" w:hAnsi="Calibri"/>
          <w:sz w:val="22"/>
        </w:rPr>
      </w:pPr>
    </w:p>
    <w:p w:rsidR="00E14BF7" w:rsidRPr="006F0AAE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10" w:name="_Toc534275259"/>
      <w:r w:rsidRPr="006F0AAE">
        <w:lastRenderedPageBreak/>
        <w:t>Hromosvod</w:t>
      </w:r>
      <w:bookmarkEnd w:id="10"/>
    </w:p>
    <w:p w:rsidR="00E14BF7" w:rsidRPr="006F0AAE" w:rsidRDefault="006436F1" w:rsidP="00E14BF7">
      <w:pPr>
        <w:ind w:left="426"/>
        <w:rPr>
          <w:rStyle w:val="Zdraznnjemn"/>
          <w:rFonts w:ascii="Calibri" w:hAnsi="Calibri"/>
          <w:sz w:val="22"/>
        </w:rPr>
      </w:pPr>
      <w:r w:rsidRPr="006F0AAE">
        <w:rPr>
          <w:rStyle w:val="Zdraznnjemn"/>
          <w:rFonts w:ascii="Calibri" w:hAnsi="Calibri"/>
          <w:sz w:val="22"/>
        </w:rPr>
        <w:t>Není řešením této dokumentace</w:t>
      </w:r>
      <w:r w:rsidR="00E14BF7" w:rsidRPr="006F0AAE">
        <w:rPr>
          <w:rStyle w:val="Zdraznnjemn"/>
          <w:rFonts w:ascii="Calibri" w:hAnsi="Calibri"/>
          <w:sz w:val="22"/>
        </w:rPr>
        <w:t>.</w:t>
      </w:r>
    </w:p>
    <w:p w:rsidR="00E14BF7" w:rsidRPr="006F0AAE" w:rsidRDefault="00E14BF7" w:rsidP="00ED5504">
      <w:pPr>
        <w:spacing w:before="0"/>
        <w:ind w:left="426"/>
        <w:rPr>
          <w:rStyle w:val="Zdraznnjemn"/>
          <w:rFonts w:ascii="Calibri" w:hAnsi="Calibri"/>
          <w:sz w:val="22"/>
        </w:rPr>
      </w:pPr>
    </w:p>
    <w:p w:rsidR="00E14BF7" w:rsidRPr="006F0AAE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11" w:name="_Toc534275260"/>
      <w:r w:rsidRPr="006F0AAE">
        <w:t>Použité normy, montáž, revize</w:t>
      </w:r>
      <w:bookmarkEnd w:id="11"/>
    </w:p>
    <w:p w:rsidR="00E14BF7" w:rsidRPr="00FE2D7C" w:rsidRDefault="00E14BF7" w:rsidP="00396A4D">
      <w:pPr>
        <w:pStyle w:val="VladanPsacstroj"/>
        <w:ind w:firstLine="708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Požadavky zákona č, 22/1997 Sb. O technických požadavcích výroby, ve znění pozdějších předpisů č. 71/200 Sb., č.102/2001 Sb., č. 205/2002 Sb., č. 226/2003 Sb. A č. 251/2003 Sb., nařízení vlády 118/2016 Sb., a pro EMC NV č. 117/2016 Sb.</w:t>
      </w:r>
    </w:p>
    <w:p w:rsidR="00E14BF7" w:rsidRPr="00FE2D7C" w:rsidRDefault="00E14BF7" w:rsidP="00396A4D">
      <w:pPr>
        <w:pStyle w:val="VladanPsacstroj"/>
        <w:ind w:firstLine="708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73 6005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Prostorová úprava vedení technického vybavení</w:t>
      </w:r>
    </w:p>
    <w:p w:rsidR="00E14BF7" w:rsidRPr="00FE2D7C" w:rsidRDefault="00FE2D7C" w:rsidP="00396A4D">
      <w:pPr>
        <w:pStyle w:val="VladanPsacstroj"/>
        <w:ind w:left="2832" w:hanging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EN ISO/IEC 17050-1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Posuzování shody -</w:t>
      </w:r>
      <w:r w:rsidR="00E14BF7"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prohlášení dodavatele o shodě</w:t>
      </w:r>
    </w:p>
    <w:p w:rsidR="00E14BF7" w:rsidRPr="00FE2D7C" w:rsidRDefault="00E14BF7" w:rsidP="00396A4D">
      <w:pPr>
        <w:pStyle w:val="VladanPsacstroj"/>
        <w:ind w:left="2832" w:hanging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 33 2000-1 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ed.2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budov. Část 1: Rozsah platnosti, účel a základní hlediska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2000-4-41 ed.2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napětí.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Část 4-41: Ochranná opatření pro zajištění bezpečnosti 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Ochrana před úrazem elektrickým proudem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33 2000-4-42 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ed.2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42: Ochrana před účinky tepla</w:t>
      </w:r>
    </w:p>
    <w:p w:rsidR="00E14BF7" w:rsidRPr="00FE2D7C" w:rsidRDefault="00FE2D7C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2000-4-45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E14BF7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45: Ochrana před pod podpětím</w:t>
      </w:r>
    </w:p>
    <w:p w:rsidR="00E14BF7" w:rsidRPr="00FE2D7C" w:rsidRDefault="00FE2D7C" w:rsidP="00396A4D">
      <w:pPr>
        <w:pStyle w:val="VladanPsacstroj"/>
        <w:ind w:left="2832" w:hanging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2000-4-46 ed.2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E14BF7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 Část 4: bezpečnost- Kapitola 46: Odpojování a spínaní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2000-4-473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  47: Použití ochranných opatření pro zajištění bezpečnosti</w:t>
      </w:r>
    </w:p>
    <w:p w:rsidR="00E14BF7" w:rsidRPr="00FE2D7C" w:rsidRDefault="00E14BF7" w:rsidP="00396A4D">
      <w:pPr>
        <w:pStyle w:val="VladanPsacstroj"/>
        <w:ind w:left="2832" w:firstLine="3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Oddíl 470: Všeobecné- oddíl 471: Opatření k zajištění ochrany před úrazem elektrickým proudem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2000-5-51 ed.3</w:t>
      </w:r>
      <w:r w:rsidR="00396A4D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396A4D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Elektrická instalace budov</w:t>
      </w:r>
    </w:p>
    <w:p w:rsidR="00E14BF7" w:rsidRPr="00FE2D7C" w:rsidRDefault="00E14BF7" w:rsidP="00396A4D">
      <w:pPr>
        <w:pStyle w:val="VladanPsacstroj"/>
        <w:ind w:left="2832" w:firstLine="3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5-51: Výběr a stavba elektrických zařízení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-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Všeobecné předpisy</w:t>
      </w:r>
    </w:p>
    <w:p w:rsidR="00E14BF7" w:rsidRPr="00FE2D7C" w:rsidRDefault="00FE2D7C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2000-5-52 ed.2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E14BF7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Kapitola 52: Výběr soustav a stavba vedení</w:t>
      </w:r>
    </w:p>
    <w:p w:rsidR="00E14BF7" w:rsidRPr="00FE2D7C" w:rsidRDefault="00FE2D7C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2000-5-54 ed.3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E14BF7"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Kapitola 54: Uzemnění a ochranné vodiče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2000-6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ed.2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6: Revize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33 2000-7-701 ed.2 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E14BF7" w:rsidRPr="00FE2D7C" w:rsidRDefault="00E14BF7" w:rsidP="00396A4D">
      <w:pPr>
        <w:pStyle w:val="VladanPsacstroj"/>
        <w:ind w:left="2832" w:firstLine="3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7-701: Zařízení jednoúčelová a ve zvláštních objektech – Prostory s vanou nebo sprchou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33 2000-7-704 ed.2 </w:t>
      </w:r>
      <w:r w:rsidR="00FE2D7C"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E14BF7" w:rsidRPr="00FE2D7C" w:rsidRDefault="00E14BF7" w:rsidP="00396A4D">
      <w:pPr>
        <w:pStyle w:val="VladanPsacstroj"/>
        <w:ind w:left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7-704: Zařízení jednoúčelová a ve zvláštních objektech – Elektrická zařízení na staveništích a demolicích</w:t>
      </w:r>
    </w:p>
    <w:p w:rsidR="00E14BF7" w:rsidRPr="00FE2D7C" w:rsidRDefault="00E14BF7" w:rsidP="00396A4D">
      <w:pPr>
        <w:pStyle w:val="VladanPsacstroj"/>
        <w:ind w:left="2835" w:hanging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2000-7-729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Elektrické instalace nízkého napětí - Část 7-729: Zařízení jednoúčelová a ve zvláštních objektech - Uličky pro obsluhu nebo údržbu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TNI IEC/TR 61200-52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Pokyny pro elektrické instalace</w:t>
      </w:r>
    </w:p>
    <w:p w:rsidR="00E14BF7" w:rsidRPr="00FE2D7C" w:rsidRDefault="00E14BF7" w:rsidP="00396A4D">
      <w:pPr>
        <w:pStyle w:val="VladanPsacstroj"/>
        <w:ind w:left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Část 52: Výběr a stavba elektrických zařízení - Elektrická vedení</w:t>
      </w:r>
    </w:p>
    <w:p w:rsidR="00E14BF7" w:rsidRPr="00FE2D7C" w:rsidRDefault="00E14BF7" w:rsidP="00396A4D">
      <w:pPr>
        <w:pStyle w:val="VladanPsacstroj"/>
        <w:ind w:left="2835" w:hanging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IEC 1200-53 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 xml:space="preserve">Pokyn pro elektrické instalace- Část 53: Výběr a stavba </w:t>
      </w:r>
    </w:p>
    <w:p w:rsidR="00E14BF7" w:rsidRPr="00FE2D7C" w:rsidRDefault="00E14BF7" w:rsidP="00396A4D">
      <w:pPr>
        <w:pStyle w:val="VladanPsacstroj"/>
        <w:ind w:left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elektrických zařízení- spínací a řídicí přístroje</w:t>
      </w:r>
    </w:p>
    <w:p w:rsidR="00E14BF7" w:rsidRPr="00FE2D7C" w:rsidRDefault="00E14BF7" w:rsidP="00396A4D">
      <w:pPr>
        <w:pStyle w:val="VladanPsacstroj"/>
        <w:ind w:left="2832" w:hanging="2832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33 2130 ed.3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Elektrické instalace nízkého napětí - Vnitřní elektrické rozvody</w:t>
      </w:r>
    </w:p>
    <w:p w:rsidR="00E14BF7" w:rsidRPr="00FE2D7C" w:rsidRDefault="00E14BF7" w:rsidP="00396A4D">
      <w:pPr>
        <w:pStyle w:val="VladanPsacstroj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EN 50110-1 ed.3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Obsluha a práce na elektrických zařízeních</w:t>
      </w:r>
    </w:p>
    <w:p w:rsidR="00E14BF7" w:rsidRPr="00FE2D7C" w:rsidRDefault="00E14BF7" w:rsidP="00396A4D">
      <w:pPr>
        <w:pStyle w:val="VladanPsacstroj"/>
        <w:ind w:left="2835" w:hanging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lastRenderedPageBreak/>
        <w:t>ČSN EN 12464-2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Světlo a osvětlení - Osvětlení pracovních prostorů - Část 2: Venkovní pracovní prostory</w:t>
      </w:r>
    </w:p>
    <w:p w:rsidR="00E14BF7" w:rsidRPr="00FE2D7C" w:rsidRDefault="00E14BF7" w:rsidP="00396A4D">
      <w:pPr>
        <w:pStyle w:val="VladanPsacstroj"/>
        <w:ind w:left="2835" w:hanging="2835"/>
        <w:jc w:val="both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>ČSN EN 62305 ed.2</w:t>
      </w:r>
      <w:r w:rsidRPr="00FE2D7C">
        <w:rPr>
          <w:rFonts w:ascii="Calibri" w:hAnsi="Calibri"/>
          <w:b w:val="0"/>
          <w:color w:val="000000"/>
          <w:kern w:val="1"/>
          <w:sz w:val="22"/>
          <w:u w:val="none"/>
        </w:rPr>
        <w:tab/>
        <w:t>Ochrana před bleskem - Část 1: Obecné principy, Část 2: Řízení rizika, Část 3: Hmotné škody na stavbách a ohrožení života, Část 4: Elektrické a elektronické systémy ve stavbách</w:t>
      </w:r>
    </w:p>
    <w:p w:rsidR="00FE2D7C" w:rsidRPr="00FE2D7C" w:rsidRDefault="00FE2D7C" w:rsidP="00396A4D">
      <w:pPr>
        <w:pStyle w:val="Poloky"/>
        <w:widowControl/>
        <w:numPr>
          <w:ilvl w:val="0"/>
          <w:numId w:val="0"/>
        </w:numPr>
        <w:rPr>
          <w:rStyle w:val="Zdraznnjemn"/>
          <w:rFonts w:ascii="Calibri" w:hAnsi="Calibri" w:cs="Times New Roman"/>
          <w:sz w:val="22"/>
          <w:szCs w:val="22"/>
        </w:rPr>
      </w:pPr>
    </w:p>
    <w:p w:rsidR="00E14BF7" w:rsidRPr="00FE2D7C" w:rsidRDefault="00396A4D" w:rsidP="00396A4D">
      <w:pPr>
        <w:pStyle w:val="Poloky"/>
        <w:widowControl/>
        <w:numPr>
          <w:ilvl w:val="0"/>
          <w:numId w:val="0"/>
        </w:numPr>
        <w:rPr>
          <w:rStyle w:val="Zdraznnjemn"/>
          <w:rFonts w:ascii="Calibri" w:hAnsi="Calibri" w:cs="Times New Roman"/>
          <w:sz w:val="22"/>
          <w:szCs w:val="22"/>
        </w:rPr>
      </w:pPr>
      <w:r>
        <w:rPr>
          <w:rStyle w:val="Zdraznnjemn"/>
          <w:rFonts w:ascii="Calibri" w:hAnsi="Calibri" w:cs="Times New Roman"/>
          <w:sz w:val="22"/>
          <w:szCs w:val="22"/>
        </w:rPr>
        <w:tab/>
      </w:r>
      <w:r w:rsidR="00E14BF7" w:rsidRPr="00FE2D7C">
        <w:rPr>
          <w:rStyle w:val="Zdraznnjemn"/>
          <w:rFonts w:ascii="Calibri" w:hAnsi="Calibri" w:cs="Times New Roman"/>
          <w:sz w:val="22"/>
          <w:szCs w:val="22"/>
        </w:rPr>
        <w:t>V každé z uvedených norem jsou dále uvedeny odkazy na normy související, případně i na související právní a jiné předpisy.</w:t>
      </w:r>
    </w:p>
    <w:p w:rsidR="00E14BF7" w:rsidRPr="00FE2D7C" w:rsidRDefault="00E14BF7" w:rsidP="00396A4D">
      <w:pPr>
        <w:ind w:firstLine="426"/>
        <w:rPr>
          <w:sz w:val="22"/>
          <w:szCs w:val="22"/>
        </w:rPr>
      </w:pPr>
    </w:p>
    <w:p w:rsidR="00E14BF7" w:rsidRPr="006F0AAE" w:rsidRDefault="00E14BF7" w:rsidP="00E14BF7">
      <w:pPr>
        <w:pStyle w:val="dka"/>
        <w:ind w:left="0"/>
        <w:jc w:val="both"/>
        <w:rPr>
          <w:rStyle w:val="Zdraznnjemn"/>
          <w:rFonts w:ascii="Calibri" w:hAnsi="Calibri"/>
          <w:b/>
          <w:kern w:val="0"/>
          <w:sz w:val="22"/>
          <w:szCs w:val="22"/>
        </w:rPr>
      </w:pPr>
      <w:r w:rsidRPr="006F0AAE">
        <w:rPr>
          <w:rStyle w:val="Zdraznnjemn"/>
          <w:rFonts w:ascii="Calibri" w:hAnsi="Calibri"/>
          <w:b/>
          <w:kern w:val="0"/>
          <w:sz w:val="22"/>
          <w:szCs w:val="22"/>
        </w:rPr>
        <w:t>Revize</w:t>
      </w:r>
    </w:p>
    <w:p w:rsidR="00E14BF7" w:rsidRPr="006F0AAE" w:rsidRDefault="00396A4D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ab/>
      </w:r>
      <w:r w:rsidR="00FE2D7C">
        <w:rPr>
          <w:rStyle w:val="Zdraznnjemn"/>
          <w:rFonts w:ascii="Calibri" w:hAnsi="Calibri"/>
          <w:kern w:val="0"/>
          <w:sz w:val="22"/>
          <w:szCs w:val="22"/>
        </w:rPr>
        <w:t>Elektrické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 zařízení musí být před uvedením do provozu vybaveny bezpečnostními tabulkami a nápisy předepsanými pro tato zařízení příslušnými zařizovacími nebo předmětovými normami. Tabulky a nápisy musí být provedeny dle ČSN ISO 3864-1.</w:t>
      </w:r>
    </w:p>
    <w:p w:rsidR="00E14BF7" w:rsidRPr="006F0AAE" w:rsidRDefault="00396A4D" w:rsidP="00396A4D">
      <w:pPr>
        <w:pStyle w:val="dka"/>
        <w:ind w:left="0"/>
        <w:jc w:val="both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E14BF7" w:rsidRPr="006F0AAE">
        <w:rPr>
          <w:rStyle w:val="Zdraznnjemn"/>
          <w:rFonts w:ascii="Calibri" w:hAnsi="Calibri"/>
          <w:sz w:val="22"/>
          <w:szCs w:val="22"/>
        </w:rPr>
        <w:t>Výchozí revizi provede dodavatel montážních prací podle ČSN 33 2000-6 ed.2. Další revize (periodické) bude provádět provozovatel ve stanovených lhůtách a po každé opravě vyvolané poruchou, či poškozením el</w:t>
      </w:r>
      <w:r w:rsidR="00FE2D7C">
        <w:rPr>
          <w:rStyle w:val="Zdraznnjemn"/>
          <w:rFonts w:ascii="Calibri" w:hAnsi="Calibri"/>
          <w:sz w:val="22"/>
          <w:szCs w:val="22"/>
        </w:rPr>
        <w:t>ektrické</w:t>
      </w:r>
      <w:r w:rsidR="00E17F03">
        <w:rPr>
          <w:rStyle w:val="Zdraznnjemn"/>
          <w:rFonts w:ascii="Calibri" w:hAnsi="Calibri"/>
          <w:sz w:val="22"/>
          <w:szCs w:val="22"/>
        </w:rPr>
        <w:t>ho</w:t>
      </w:r>
      <w:r w:rsidR="00E14BF7" w:rsidRPr="006F0AAE">
        <w:rPr>
          <w:rStyle w:val="Zdraznnjemn"/>
          <w:rFonts w:ascii="Calibri" w:hAnsi="Calibri"/>
          <w:sz w:val="22"/>
          <w:szCs w:val="22"/>
        </w:rPr>
        <w:t xml:space="preserve"> zařízení.</w:t>
      </w: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FE2D7C" w:rsidRDefault="00FE2D7C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E14BF7" w:rsidRDefault="00FE2D7C" w:rsidP="00DC4A17">
      <w:pPr>
        <w:pStyle w:val="dka"/>
        <w:ind w:left="0"/>
        <w:jc w:val="right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>V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ypracoval:  </w:t>
      </w:r>
      <w:r w:rsidR="003E2E11">
        <w:rPr>
          <w:rStyle w:val="Zdraznnjemn"/>
          <w:rFonts w:ascii="Calibri" w:hAnsi="Calibri"/>
          <w:kern w:val="0"/>
          <w:sz w:val="22"/>
          <w:szCs w:val="22"/>
        </w:rPr>
        <w:t>3</w:t>
      </w:r>
      <w:r w:rsidR="006436F1" w:rsidRPr="006F0AAE">
        <w:rPr>
          <w:rStyle w:val="Zdraznnjemn"/>
          <w:rFonts w:ascii="Calibri" w:hAnsi="Calibri"/>
          <w:kern w:val="0"/>
          <w:sz w:val="22"/>
          <w:szCs w:val="22"/>
        </w:rPr>
        <w:t>1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>.</w:t>
      </w:r>
      <w:r w:rsidR="006436F1" w:rsidRPr="006F0AAE">
        <w:rPr>
          <w:rStyle w:val="Zdraznnjemn"/>
          <w:rFonts w:ascii="Calibri" w:hAnsi="Calibri"/>
          <w:kern w:val="0"/>
          <w:sz w:val="22"/>
          <w:szCs w:val="22"/>
        </w:rPr>
        <w:t>1</w:t>
      </w:r>
      <w:r w:rsidR="003E2E11">
        <w:rPr>
          <w:rStyle w:val="Zdraznnjemn"/>
          <w:rFonts w:ascii="Calibri" w:hAnsi="Calibri"/>
          <w:kern w:val="0"/>
          <w:sz w:val="22"/>
          <w:szCs w:val="22"/>
        </w:rPr>
        <w:t>0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>.201</w:t>
      </w:r>
      <w:r w:rsidR="003E2E11">
        <w:rPr>
          <w:rStyle w:val="Zdraznnjemn"/>
          <w:rFonts w:ascii="Calibri" w:hAnsi="Calibri"/>
          <w:kern w:val="0"/>
          <w:sz w:val="22"/>
          <w:szCs w:val="22"/>
        </w:rPr>
        <w:t>8</w:t>
      </w:r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 xml:space="preserve"> Antonín </w:t>
      </w:r>
      <w:proofErr w:type="spellStart"/>
      <w:r w:rsidR="00E14BF7" w:rsidRPr="006F0AAE">
        <w:rPr>
          <w:rStyle w:val="Zdraznnjemn"/>
          <w:rFonts w:ascii="Calibri" w:hAnsi="Calibri"/>
          <w:kern w:val="0"/>
          <w:sz w:val="22"/>
          <w:szCs w:val="22"/>
        </w:rPr>
        <w:t>Ludík</w:t>
      </w:r>
      <w:proofErr w:type="spellEnd"/>
    </w:p>
    <w:p w:rsidR="00DC4A17" w:rsidRDefault="00DC4A17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DC4A17" w:rsidRPr="00362B42" w:rsidRDefault="00DC4A17" w:rsidP="00396A4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DC4A17" w:rsidRPr="00625F3D" w:rsidRDefault="00DC4A17" w:rsidP="00DC4A17">
      <w:pPr>
        <w:pStyle w:val="dka"/>
        <w:ind w:left="0"/>
        <w:jc w:val="both"/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>Poznámka</w:t>
      </w:r>
    </w:p>
    <w:p w:rsidR="00DC4A17" w:rsidRPr="00625F3D" w:rsidRDefault="00DC4A17" w:rsidP="00DC4A17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Ve výpočtu uvedeny konkrétní názvy svítidel a výrobce, s jakými byl výpočet proveden, přičemž platí: </w:t>
      </w: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>Pokud se v dokumentaci vyskytují obchodní názvy, jedná se pouze o vymezení minimálních požadovaných technických standardů výrobku, technologie či materiálu, který musí být dodržen, a zadavatel připouští použití i jiného, kvalitativně či technologicky obdobného řešení, které tyto minimálně požadované standardy splňuje. Je tedy možno použít výrobek či materiál s jiným názvem a označením, který ale splní požadovaný standard.</w:t>
      </w:r>
    </w:p>
    <w:p w:rsidR="00DC4A17" w:rsidRPr="00625F3D" w:rsidRDefault="00DC4A17" w:rsidP="00DC4A17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</w:p>
    <w:p w:rsidR="00DC4A17" w:rsidRPr="00625F3D" w:rsidRDefault="00DC4A17" w:rsidP="00DC4A17">
      <w:pPr>
        <w:pStyle w:val="dka"/>
        <w:ind w:left="4956"/>
        <w:jc w:val="right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doplnil:  17. 9. 2019 Roman </w:t>
      </w:r>
      <w:proofErr w:type="spellStart"/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>Havlišta</w:t>
      </w:r>
      <w:proofErr w:type="spellEnd"/>
    </w:p>
    <w:p w:rsidR="00401DA7" w:rsidRPr="00B664C9" w:rsidRDefault="00401DA7" w:rsidP="00396A4D">
      <w:pPr>
        <w:pStyle w:val="Nadpisobsahu"/>
        <w:rPr>
          <w:color w:val="FF0000"/>
        </w:rPr>
      </w:pPr>
    </w:p>
    <w:sectPr w:rsidR="00401DA7" w:rsidRPr="00B664C9" w:rsidSect="00D948BB">
      <w:headerReference w:type="default" r:id="rId11"/>
      <w:footerReference w:type="default" r:id="rId12"/>
      <w:pgSz w:w="11906" w:h="16838" w:code="9"/>
      <w:pgMar w:top="1417" w:right="1417" w:bottom="993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B67" w:rsidRDefault="00D57B67" w:rsidP="00075818">
      <w:r>
        <w:separator/>
      </w:r>
    </w:p>
    <w:p w:rsidR="00D57B67" w:rsidRDefault="00D57B67" w:rsidP="00075818"/>
  </w:endnote>
  <w:endnote w:type="continuationSeparator" w:id="0">
    <w:p w:rsidR="00D57B67" w:rsidRDefault="00D57B67" w:rsidP="00075818">
      <w:r>
        <w:continuationSeparator/>
      </w:r>
    </w:p>
    <w:p w:rsidR="00D57B67" w:rsidRDefault="00D57B67" w:rsidP="000758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EE" w:rsidRDefault="004525EE" w:rsidP="00075818"/>
  <w:p w:rsidR="004525EE" w:rsidRPr="00CD2ECC" w:rsidRDefault="009222F1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DC4A17">
      <w:rPr>
        <w:b/>
        <w:noProof/>
      </w:rPr>
      <w:t>2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fldSimple w:instr=" NUMPAGES   \* MERGEFORMAT ">
      <w:r w:rsidR="00DC4A17" w:rsidRPr="00DC4A17">
        <w:rPr>
          <w:b/>
          <w:bCs/>
          <w:noProof/>
        </w:rPr>
        <w:instrText>6</w:instrText>
      </w:r>
    </w:fldSimple>
    <w:r w:rsidRPr="00CD2ECC">
      <w:rPr>
        <w:b/>
        <w:bCs/>
      </w:rPr>
      <w:fldChar w:fldCharType="separate"/>
    </w:r>
    <w:r w:rsidR="00DC4A17">
      <w:rPr>
        <w:b/>
        <w:bCs/>
        <w:noProof/>
      </w:rPr>
      <w:t>6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B67" w:rsidRDefault="00D57B67" w:rsidP="00075818">
      <w:r>
        <w:separator/>
      </w:r>
    </w:p>
    <w:p w:rsidR="00D57B67" w:rsidRDefault="00D57B67" w:rsidP="00075818"/>
  </w:footnote>
  <w:footnote w:type="continuationSeparator" w:id="0">
    <w:p w:rsidR="00D57B67" w:rsidRDefault="00D57B67" w:rsidP="00075818">
      <w:r>
        <w:continuationSeparator/>
      </w:r>
    </w:p>
    <w:p w:rsidR="00D57B67" w:rsidRDefault="00D57B67" w:rsidP="0007581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EE" w:rsidRDefault="009222F1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</w:t>
    </w:r>
    <w:r w:rsidR="00E17F03">
      <w:rPr>
        <w:color w:val="000000"/>
      </w:rPr>
      <w:t>P</w:t>
    </w:r>
    <w:r w:rsidR="00B664C9">
      <w:rPr>
        <w:color w:val="000000"/>
      </w:rPr>
      <w:t>S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B664C9">
          <w:rPr>
            <w:color w:val="000000"/>
          </w:rPr>
          <w:t>D.1.</w:t>
        </w:r>
        <w:r w:rsidR="003D1832">
          <w:rPr>
            <w:color w:val="000000"/>
          </w:rPr>
          <w:t>4.</w:t>
        </w:r>
        <w:r w:rsidR="00043BC9">
          <w:rPr>
            <w:color w:val="000000"/>
          </w:rPr>
          <w:t>4</w:t>
        </w:r>
        <w:r w:rsidR="00B664C9">
          <w:rPr>
            <w:color w:val="000000"/>
          </w:rPr>
          <w:t xml:space="preserve"> </w:t>
        </w:r>
        <w:r w:rsidR="00A30D93">
          <w:rPr>
            <w:color w:val="000000"/>
          </w:rPr>
          <w:t>–</w:t>
        </w:r>
        <w:r w:rsidR="003D1832">
          <w:rPr>
            <w:color w:val="000000"/>
          </w:rPr>
          <w:t xml:space="preserve"> </w:t>
        </w:r>
        <w:r w:rsidR="00043BC9">
          <w:rPr>
            <w:color w:val="000000"/>
          </w:rPr>
          <w:t>SILNOPROUDÁ ELEKTROTECHNIKA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7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9"/>
  </w:num>
  <w:num w:numId="4">
    <w:abstractNumId w:val="15"/>
  </w:num>
  <w:num w:numId="5">
    <w:abstractNumId w:val="17"/>
  </w:num>
  <w:num w:numId="6">
    <w:abstractNumId w:val="40"/>
  </w:num>
  <w:num w:numId="7">
    <w:abstractNumId w:val="20"/>
  </w:num>
  <w:num w:numId="8">
    <w:abstractNumId w:val="41"/>
  </w:num>
  <w:num w:numId="9">
    <w:abstractNumId w:val="37"/>
  </w:num>
  <w:num w:numId="10">
    <w:abstractNumId w:val="31"/>
  </w:num>
  <w:num w:numId="11">
    <w:abstractNumId w:val="2"/>
  </w:num>
  <w:num w:numId="12">
    <w:abstractNumId w:val="12"/>
  </w:num>
  <w:num w:numId="13">
    <w:abstractNumId w:val="19"/>
  </w:num>
  <w:num w:numId="14">
    <w:abstractNumId w:val="42"/>
  </w:num>
  <w:num w:numId="15">
    <w:abstractNumId w:val="24"/>
  </w:num>
  <w:num w:numId="16">
    <w:abstractNumId w:val="7"/>
  </w:num>
  <w:num w:numId="17">
    <w:abstractNumId w:val="4"/>
  </w:num>
  <w:num w:numId="18">
    <w:abstractNumId w:val="26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8"/>
  </w:num>
  <w:num w:numId="25">
    <w:abstractNumId w:val="23"/>
  </w:num>
  <w:num w:numId="26">
    <w:abstractNumId w:val="25"/>
  </w:num>
  <w:num w:numId="27">
    <w:abstractNumId w:val="32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8"/>
  </w:num>
  <w:num w:numId="33">
    <w:abstractNumId w:val="22"/>
  </w:num>
  <w:num w:numId="34">
    <w:abstractNumId w:val="3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8"/>
  </w:num>
  <w:num w:numId="37">
    <w:abstractNumId w:val="27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35"/>
  </w:num>
  <w:num w:numId="43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34"/>
  </w:num>
  <w:num w:numId="46">
    <w:abstractNumId w:val="9"/>
  </w:num>
  <w:num w:numId="47">
    <w:abstractNumId w:val="9"/>
  </w:num>
  <w:num w:numId="48">
    <w:abstractNumId w:val="9"/>
  </w:num>
  <w:num w:numId="49">
    <w:abstractNumId w:val="9"/>
  </w:num>
  <w:num w:numId="50">
    <w:abstractNumId w:val="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970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35E9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26B8"/>
    <w:rsid w:val="00043BC9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428"/>
    <w:rsid w:val="00075818"/>
    <w:rsid w:val="000762E3"/>
    <w:rsid w:val="000801C4"/>
    <w:rsid w:val="00081A4F"/>
    <w:rsid w:val="00082499"/>
    <w:rsid w:val="00082DAF"/>
    <w:rsid w:val="00084C6D"/>
    <w:rsid w:val="00090709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74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598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59C1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0D2D"/>
    <w:rsid w:val="001714CA"/>
    <w:rsid w:val="00171CD2"/>
    <w:rsid w:val="00172247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64E8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54A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4DBD"/>
    <w:rsid w:val="001D6650"/>
    <w:rsid w:val="001D7DF1"/>
    <w:rsid w:val="001E04F9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B9E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1F88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3F79"/>
    <w:rsid w:val="002F4C29"/>
    <w:rsid w:val="002F5593"/>
    <w:rsid w:val="0030116A"/>
    <w:rsid w:val="00301709"/>
    <w:rsid w:val="00303311"/>
    <w:rsid w:val="0030364D"/>
    <w:rsid w:val="003055E6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4D44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2F8C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96A4D"/>
    <w:rsid w:val="00396F3A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98A"/>
    <w:rsid w:val="003C6D6B"/>
    <w:rsid w:val="003C78DB"/>
    <w:rsid w:val="003D0BD9"/>
    <w:rsid w:val="003D0D01"/>
    <w:rsid w:val="003D1512"/>
    <w:rsid w:val="003D1832"/>
    <w:rsid w:val="003D1F89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2E11"/>
    <w:rsid w:val="003E387B"/>
    <w:rsid w:val="003E44BC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5329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412D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3877"/>
    <w:rsid w:val="004D482E"/>
    <w:rsid w:val="004D4FE5"/>
    <w:rsid w:val="004D75C4"/>
    <w:rsid w:val="004E1376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160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19B"/>
    <w:rsid w:val="00510229"/>
    <w:rsid w:val="00510436"/>
    <w:rsid w:val="0051065B"/>
    <w:rsid w:val="00510973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292B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16A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352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4F6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36F1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334C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AAE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597"/>
    <w:rsid w:val="007008F0"/>
    <w:rsid w:val="007018C8"/>
    <w:rsid w:val="00701974"/>
    <w:rsid w:val="00703E84"/>
    <w:rsid w:val="00704347"/>
    <w:rsid w:val="00704CDC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941"/>
    <w:rsid w:val="00720D73"/>
    <w:rsid w:val="00720F99"/>
    <w:rsid w:val="00722BD0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573F9"/>
    <w:rsid w:val="0076155A"/>
    <w:rsid w:val="00761FBD"/>
    <w:rsid w:val="00762C1E"/>
    <w:rsid w:val="00763653"/>
    <w:rsid w:val="007638CB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2AB6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121"/>
    <w:rsid w:val="007B4F22"/>
    <w:rsid w:val="007B50FF"/>
    <w:rsid w:val="007B5995"/>
    <w:rsid w:val="007B5D81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7D6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1A5E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691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091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2015"/>
    <w:rsid w:val="00902316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2A1"/>
    <w:rsid w:val="00916C8B"/>
    <w:rsid w:val="00917BAF"/>
    <w:rsid w:val="009206F7"/>
    <w:rsid w:val="00920B7B"/>
    <w:rsid w:val="009214F5"/>
    <w:rsid w:val="009222F1"/>
    <w:rsid w:val="009246D6"/>
    <w:rsid w:val="0092536F"/>
    <w:rsid w:val="00927966"/>
    <w:rsid w:val="009320A6"/>
    <w:rsid w:val="009334BA"/>
    <w:rsid w:val="009337CF"/>
    <w:rsid w:val="009356C9"/>
    <w:rsid w:val="009365E5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6D4F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954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26417"/>
    <w:rsid w:val="00A30AF3"/>
    <w:rsid w:val="00A30D9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1858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2E56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AB7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847"/>
    <w:rsid w:val="00AF4FE3"/>
    <w:rsid w:val="00AF5C92"/>
    <w:rsid w:val="00B01D48"/>
    <w:rsid w:val="00B01E49"/>
    <w:rsid w:val="00B03BF6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7D4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891"/>
    <w:rsid w:val="00B44938"/>
    <w:rsid w:val="00B44B29"/>
    <w:rsid w:val="00B44F4D"/>
    <w:rsid w:val="00B451A1"/>
    <w:rsid w:val="00B4570C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00"/>
    <w:rsid w:val="00B66C5C"/>
    <w:rsid w:val="00B66D31"/>
    <w:rsid w:val="00B71C37"/>
    <w:rsid w:val="00B72102"/>
    <w:rsid w:val="00B72A98"/>
    <w:rsid w:val="00B7431E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1BD5"/>
    <w:rsid w:val="00BA2443"/>
    <w:rsid w:val="00BA29B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2FC8"/>
    <w:rsid w:val="00BC371D"/>
    <w:rsid w:val="00BC3A1E"/>
    <w:rsid w:val="00BC3E25"/>
    <w:rsid w:val="00BC44EA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07E5"/>
    <w:rsid w:val="00C60E03"/>
    <w:rsid w:val="00C61660"/>
    <w:rsid w:val="00C63C59"/>
    <w:rsid w:val="00C63E5F"/>
    <w:rsid w:val="00C65F7E"/>
    <w:rsid w:val="00C668BA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10E9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5F50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57B67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8BB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A763C"/>
    <w:rsid w:val="00DB09F3"/>
    <w:rsid w:val="00DB0A24"/>
    <w:rsid w:val="00DB0A35"/>
    <w:rsid w:val="00DB2D15"/>
    <w:rsid w:val="00DB2EE5"/>
    <w:rsid w:val="00DB4370"/>
    <w:rsid w:val="00DB5D30"/>
    <w:rsid w:val="00DB6F91"/>
    <w:rsid w:val="00DB7E4D"/>
    <w:rsid w:val="00DC0B6D"/>
    <w:rsid w:val="00DC1878"/>
    <w:rsid w:val="00DC278F"/>
    <w:rsid w:val="00DC3942"/>
    <w:rsid w:val="00DC404B"/>
    <w:rsid w:val="00DC4969"/>
    <w:rsid w:val="00DC4A17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BF7"/>
    <w:rsid w:val="00E14D38"/>
    <w:rsid w:val="00E15ED2"/>
    <w:rsid w:val="00E17F03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796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1F2D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1FE"/>
    <w:rsid w:val="00E932FD"/>
    <w:rsid w:val="00E93B8A"/>
    <w:rsid w:val="00E93DA7"/>
    <w:rsid w:val="00E94582"/>
    <w:rsid w:val="00E94A29"/>
    <w:rsid w:val="00E96256"/>
    <w:rsid w:val="00E967CD"/>
    <w:rsid w:val="00E96920"/>
    <w:rsid w:val="00EA037D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127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04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E6F64"/>
    <w:rsid w:val="00EF13CD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3F29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2BC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64C6"/>
    <w:rsid w:val="00F90070"/>
    <w:rsid w:val="00F91276"/>
    <w:rsid w:val="00F91382"/>
    <w:rsid w:val="00F93E5A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2D7C"/>
    <w:rsid w:val="00FE3193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  <o:rules v:ext="edit">
        <o:r id="V:Rule14" type="connector" idref="#_x0000_s1058"/>
        <o:r id="V:Rule15" type="connector" idref="#_x0000_s1049"/>
        <o:r id="V:Rule16" type="connector" idref="#_x0000_s1060"/>
        <o:r id="V:Rule17" type="connector" idref="#_x0000_s1059"/>
        <o:r id="V:Rule18" type="connector" idref="#_x0000_s1048"/>
        <o:r id="V:Rule19" type="connector" idref="#_x0000_s1050"/>
        <o:r id="V:Rule20" type="connector" idref="#_x0000_s1051"/>
        <o:r id="V:Rule21" type="connector" idref="#_x0000_s1053"/>
        <o:r id="V:Rule22" type="connector" idref="#_x0000_s1047"/>
        <o:r id="V:Rule23" type="connector" idref="#_x0000_s1055"/>
        <o:r id="V:Rule24" type="connector" idref="#_x0000_s1057"/>
        <o:r id="V:Rule25" type="connector" idref="#_x0000_s1054"/>
        <o:r id="V:Rule26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vrendokumentu">
    <w:name w:val="Document Map"/>
    <w:basedOn w:val="Normln"/>
    <w:link w:val="Rozvr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113753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Importovanstyl8"/>
    <w:pPr>
      <w:numPr>
        <w:numId w:val="17"/>
      </w:numPr>
    </w:pPr>
  </w:style>
  <w:style w:type="numbering" w:customStyle="1" w:styleId="Nadpis2Char">
    <w:name w:val="Psmena"/>
    <w:pPr>
      <w:numPr>
        <w:numId w:val="16"/>
      </w:numPr>
    </w:pPr>
  </w:style>
  <w:style w:type="numbering" w:customStyle="1" w:styleId="Nadpis3Char">
    <w:name w:val="LFO10"/>
    <w:pPr>
      <w:numPr>
        <w:numId w:val="40"/>
      </w:numPr>
    </w:pPr>
  </w:style>
  <w:style w:type="numbering" w:customStyle="1" w:styleId="Nadpis6Char">
    <w:name w:val="Vycet2"/>
    <w:pPr>
      <w:numPr>
        <w:numId w:val="4"/>
      </w:numPr>
    </w:pPr>
  </w:style>
  <w:style w:type="numbering" w:customStyle="1" w:styleId="Nadpis9Char">
    <w:name w:val="Pomlka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E1E20"/>
    <w:rsid w:val="0002245A"/>
    <w:rsid w:val="00034B3B"/>
    <w:rsid w:val="00050464"/>
    <w:rsid w:val="00080CEE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8490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72D8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CB1A9A-1D33-47E6-8D98-83D0149D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1755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12092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Roman Havlišta</cp:lastModifiedBy>
  <cp:revision>3</cp:revision>
  <cp:lastPrinted>2019-01-04T12:23:00Z</cp:lastPrinted>
  <dcterms:created xsi:type="dcterms:W3CDTF">2019-09-17T13:47:00Z</dcterms:created>
  <dcterms:modified xsi:type="dcterms:W3CDTF">2019-09-17T13:48:00Z</dcterms:modified>
</cp:coreProperties>
</file>