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4860FA" w:rsidRDefault="000C31FA" w:rsidP="00582F73">
      <w:pPr>
        <w:keepNext/>
        <w:pBdr>
          <w:bottom w:val="single" w:sz="48" w:space="1" w:color="4F6228" w:themeColor="accent3" w:themeShade="80"/>
        </w:pBdr>
        <w:spacing w:line="276" w:lineRule="auto"/>
        <w:jc w:val="center"/>
        <w:outlineLvl w:val="0"/>
        <w:rPr>
          <w:rFonts w:ascii="Cambria" w:hAnsi="Cambria"/>
          <w:b/>
          <w:bCs/>
          <w:smallCaps/>
          <w:kern w:val="32"/>
          <w:sz w:val="72"/>
          <w:szCs w:val="22"/>
          <w:lang w:eastAsia="en-US"/>
        </w:rPr>
      </w:pPr>
      <w:r w:rsidRPr="004860FA">
        <w:rPr>
          <w:rFonts w:ascii="Cambria" w:hAnsi="Cambria"/>
          <w:b/>
          <w:smallCaps/>
          <w:kern w:val="32"/>
          <w:sz w:val="72"/>
          <w:szCs w:val="22"/>
          <w:lang w:eastAsia="en-US"/>
        </w:rPr>
        <w:t>Krycí list nabídky</w:t>
      </w:r>
    </w:p>
    <w:p w:rsidR="002857A5" w:rsidRPr="004860FA" w:rsidRDefault="002857A5" w:rsidP="002857A5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na </w:t>
      </w:r>
      <w:r w:rsidR="000C31FA" w:rsidRPr="004860FA">
        <w:rPr>
          <w:rFonts w:ascii="Cambria" w:hAnsi="Cambria"/>
          <w:bCs/>
          <w:iCs/>
          <w:sz w:val="22"/>
          <w:szCs w:val="22"/>
          <w:lang w:eastAsia="en-US"/>
        </w:rPr>
        <w:t>služby</w:t>
      </w:r>
      <w:r w:rsidR="0098543A"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zadávané jako </w:t>
      </w:r>
      <w:r w:rsidR="00C31F1F"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nadlimitní veřejná </w:t>
      </w:r>
      <w:r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zakázka </w:t>
      </w:r>
      <w:r w:rsidR="00C31F1F"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dle </w:t>
      </w:r>
      <w:r w:rsidRPr="004860FA">
        <w:rPr>
          <w:rFonts w:ascii="Cambria" w:hAnsi="Cambria"/>
          <w:bCs/>
          <w:iCs/>
          <w:sz w:val="22"/>
          <w:szCs w:val="22"/>
          <w:lang w:eastAsia="en-US"/>
        </w:rPr>
        <w:t>zákona č. 134/2016 Sb., o zadávání veřejných zakázek</w:t>
      </w:r>
      <w:r w:rsidR="000C3B15" w:rsidRPr="004860FA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860FA">
        <w:rPr>
          <w:rFonts w:ascii="Cambria" w:hAnsi="Cambria"/>
          <w:bCs/>
          <w:iCs/>
          <w:sz w:val="22"/>
          <w:szCs w:val="22"/>
          <w:lang w:eastAsia="en-US"/>
        </w:rPr>
        <w:t>(dále jen „zákon“) s</w:t>
      </w:r>
      <w:r w:rsidR="006B3409" w:rsidRPr="004860FA"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Pr="004860FA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242772" w:rsidRPr="004860FA" w:rsidRDefault="00786B51" w:rsidP="000C31FA">
      <w:pPr>
        <w:spacing w:before="240" w:after="200" w:line="276" w:lineRule="auto"/>
        <w:jc w:val="center"/>
        <w:rPr>
          <w:rFonts w:ascii="Cambria" w:hAnsi="Cambria"/>
          <w:b/>
          <w:bCs/>
          <w:sz w:val="44"/>
          <w:szCs w:val="52"/>
        </w:rPr>
      </w:pPr>
      <w:r w:rsidRPr="004860FA">
        <w:rPr>
          <w:rFonts w:ascii="Cambria" w:hAnsi="Cambria"/>
          <w:b/>
          <w:bCs/>
          <w:sz w:val="44"/>
          <w:szCs w:val="52"/>
        </w:rPr>
        <w:t>Modernizace třídící linky pro separaci KO a odpadů podobných KO ve společnosti MEGAWASTE, spol. s r.o.</w:t>
      </w:r>
      <w:r w:rsidR="00242772" w:rsidRPr="004860FA">
        <w:rPr>
          <w:rFonts w:ascii="Cambria" w:hAnsi="Cambria"/>
          <w:b/>
          <w:bCs/>
          <w:sz w:val="44"/>
          <w:szCs w:val="52"/>
        </w:rPr>
        <w:t xml:space="preserve"> </w:t>
      </w:r>
    </w:p>
    <w:p w:rsidR="00716DE9" w:rsidRPr="004860FA" w:rsidRDefault="00716DE9" w:rsidP="000C31FA">
      <w:pPr>
        <w:pBdr>
          <w:bottom w:val="single" w:sz="18" w:space="1" w:color="4F6228" w:themeColor="accent3" w:themeShade="80"/>
        </w:pBdr>
        <w:spacing w:before="240" w:line="276" w:lineRule="auto"/>
        <w:jc w:val="center"/>
        <w:rPr>
          <w:rFonts w:ascii="Cambria" w:eastAsia="Calibri" w:hAnsi="Cambria"/>
          <w:b/>
          <w:szCs w:val="22"/>
          <w:lang w:eastAsia="en-US"/>
        </w:rPr>
      </w:pPr>
      <w:r w:rsidRPr="004860FA">
        <w:rPr>
          <w:rFonts w:ascii="Cambria" w:eastAsia="Calibri" w:hAnsi="Cambria"/>
          <w:b/>
          <w:szCs w:val="22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nThickSmallGap" w:sz="18" w:space="0" w:color="4F6228" w:themeColor="accent3" w:themeShade="80"/>
          <w:right w:val="thinThickSmallGap" w:sz="18" w:space="0" w:color="4F6228" w:themeColor="accent3" w:themeShade="80"/>
        </w:tblBorders>
        <w:tblLayout w:type="fixed"/>
        <w:tblLook w:val="04A0"/>
      </w:tblPr>
      <w:tblGrid>
        <w:gridCol w:w="3227"/>
        <w:gridCol w:w="5953"/>
      </w:tblGrid>
      <w:tr w:rsidR="000C31FA" w:rsidRPr="004860FA" w:rsidTr="000C31FA">
        <w:trPr>
          <w:cantSplit/>
          <w:trHeight w:val="538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0C31FA" w:rsidRPr="004860FA" w:rsidRDefault="000C31FA" w:rsidP="002A7082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4860FA">
              <w:rPr>
                <w:rFonts w:ascii="Cambria" w:hAnsi="Cambria"/>
                <w:b/>
                <w:sz w:val="22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0C31FA" w:rsidRPr="004860FA" w:rsidRDefault="00786B51" w:rsidP="002A7082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4860FA">
              <w:rPr>
                <w:rFonts w:ascii="Cambria" w:hAnsi="Cambria"/>
                <w:b/>
                <w:sz w:val="22"/>
              </w:rPr>
              <w:t>MEGAWASTE, spol. s r.o.</w:t>
            </w:r>
          </w:p>
        </w:tc>
      </w:tr>
      <w:tr w:rsidR="00786B51" w:rsidRPr="004860FA" w:rsidTr="000C31FA">
        <w:trPr>
          <w:cantSplit/>
          <w:trHeight w:val="572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786B51" w:rsidRPr="004860FA" w:rsidRDefault="00786B51" w:rsidP="00786B51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4860FA">
              <w:rPr>
                <w:rFonts w:ascii="Cambria" w:hAnsi="Cambria"/>
                <w:b/>
                <w:sz w:val="22"/>
              </w:rPr>
              <w:t>Sídlo zadavatele:</w:t>
            </w:r>
          </w:p>
        </w:tc>
        <w:tc>
          <w:tcPr>
            <w:tcW w:w="5953" w:type="dxa"/>
            <w:vAlign w:val="center"/>
          </w:tcPr>
          <w:p w:rsidR="00786B51" w:rsidRPr="004860FA" w:rsidRDefault="00786B51" w:rsidP="00786B51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sz w:val="22"/>
                <w:highlight w:val="yellow"/>
              </w:rPr>
            </w:pPr>
            <w:r w:rsidRPr="004860FA">
              <w:rPr>
                <w:rFonts w:ascii="Cambria" w:hAnsi="Cambria"/>
                <w:sz w:val="22"/>
              </w:rPr>
              <w:t>Praha 1, Nové Město, Opletalova 1603/57</w:t>
            </w:r>
          </w:p>
        </w:tc>
      </w:tr>
      <w:tr w:rsidR="00786B51" w:rsidRPr="004860FA" w:rsidTr="000C31FA">
        <w:trPr>
          <w:cantSplit/>
          <w:trHeight w:val="552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786B51" w:rsidRPr="004860FA" w:rsidRDefault="00786B51" w:rsidP="00786B51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4860FA">
              <w:rPr>
                <w:rFonts w:ascii="Cambria" w:hAnsi="Cambria"/>
                <w:b/>
                <w:sz w:val="22"/>
              </w:rPr>
              <w:t>Zastoupené:</w:t>
            </w:r>
          </w:p>
        </w:tc>
        <w:tc>
          <w:tcPr>
            <w:tcW w:w="5953" w:type="dxa"/>
            <w:vAlign w:val="center"/>
          </w:tcPr>
          <w:p w:rsidR="00786B51" w:rsidRPr="004860FA" w:rsidRDefault="00786B51" w:rsidP="00786B51">
            <w:pPr>
              <w:spacing w:before="120" w:after="120"/>
              <w:rPr>
                <w:rFonts w:ascii="Cambria" w:hAnsi="Cambria"/>
                <w:sz w:val="22"/>
              </w:rPr>
            </w:pPr>
            <w:r w:rsidRPr="004860FA">
              <w:rPr>
                <w:rFonts w:ascii="Cambria" w:hAnsi="Cambria"/>
                <w:sz w:val="22"/>
              </w:rPr>
              <w:t>Ing. Ivo Knápek, Ph.D., jednatel</w:t>
            </w:r>
          </w:p>
        </w:tc>
      </w:tr>
      <w:tr w:rsidR="000C31FA" w:rsidRPr="004860FA" w:rsidTr="000C31FA">
        <w:trPr>
          <w:cantSplit/>
          <w:trHeight w:val="546"/>
        </w:trPr>
        <w:tc>
          <w:tcPr>
            <w:tcW w:w="3227" w:type="dxa"/>
            <w:shd w:val="clear" w:color="auto" w:fill="D6E3BC" w:themeFill="accent3" w:themeFillTint="66"/>
            <w:vAlign w:val="center"/>
          </w:tcPr>
          <w:p w:rsidR="000C31FA" w:rsidRPr="004860FA" w:rsidRDefault="000C31FA" w:rsidP="002A7082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b/>
                <w:sz w:val="22"/>
              </w:rPr>
            </w:pPr>
            <w:r w:rsidRPr="004860FA">
              <w:rPr>
                <w:rFonts w:ascii="Cambria" w:hAnsi="Cambria"/>
                <w:b/>
                <w:sz w:val="22"/>
              </w:rPr>
              <w:t>IČO zadavatele:</w:t>
            </w:r>
          </w:p>
        </w:tc>
        <w:tc>
          <w:tcPr>
            <w:tcW w:w="5953" w:type="dxa"/>
            <w:vAlign w:val="center"/>
          </w:tcPr>
          <w:p w:rsidR="000C31FA" w:rsidRPr="004860FA" w:rsidRDefault="00786B51" w:rsidP="002A7082">
            <w:pPr>
              <w:tabs>
                <w:tab w:val="left" w:pos="3119"/>
              </w:tabs>
              <w:spacing w:before="120" w:after="120"/>
              <w:rPr>
                <w:rFonts w:ascii="Cambria" w:hAnsi="Cambria"/>
                <w:sz w:val="22"/>
              </w:rPr>
            </w:pPr>
            <w:r w:rsidRPr="004860FA">
              <w:rPr>
                <w:rFonts w:ascii="Cambria" w:hAnsi="Cambria"/>
                <w:sz w:val="22"/>
              </w:rPr>
              <w:t>60721804</w:t>
            </w:r>
          </w:p>
        </w:tc>
      </w:tr>
    </w:tbl>
    <w:p w:rsidR="000C31FA" w:rsidRPr="004860FA" w:rsidRDefault="000C31FA" w:rsidP="000C31FA">
      <w:pPr>
        <w:pBdr>
          <w:bottom w:val="single" w:sz="18" w:space="1" w:color="4F6228" w:themeColor="accent3" w:themeShade="80"/>
        </w:pBdr>
        <w:tabs>
          <w:tab w:val="left" w:pos="3366"/>
        </w:tabs>
        <w:rPr>
          <w:rFonts w:ascii="Cambria" w:eastAsia="Calibri" w:hAnsi="Cambria"/>
          <w:b/>
          <w:szCs w:val="22"/>
          <w:lang w:eastAsia="en-US"/>
        </w:rPr>
      </w:pPr>
      <w:r w:rsidRPr="004860FA">
        <w:rPr>
          <w:rFonts w:ascii="Cambria" w:eastAsia="Calibri" w:hAnsi="Cambria"/>
          <w:b/>
          <w:szCs w:val="22"/>
          <w:lang w:eastAsia="en-US"/>
        </w:rPr>
        <w:tab/>
      </w:r>
    </w:p>
    <w:p w:rsidR="00716DE9" w:rsidRPr="004860FA" w:rsidRDefault="00716DE9" w:rsidP="000C31FA">
      <w:pPr>
        <w:pBdr>
          <w:bottom w:val="single" w:sz="18" w:space="1" w:color="4F6228" w:themeColor="accent3" w:themeShade="80"/>
        </w:pBdr>
        <w:spacing w:after="200" w:line="276" w:lineRule="auto"/>
        <w:jc w:val="center"/>
        <w:rPr>
          <w:rFonts w:ascii="Cambria" w:eastAsia="Calibri" w:hAnsi="Cambria"/>
          <w:b/>
          <w:szCs w:val="22"/>
          <w:lang w:eastAsia="en-US"/>
        </w:rPr>
      </w:pPr>
      <w:r w:rsidRPr="004860FA">
        <w:rPr>
          <w:rFonts w:ascii="Cambria" w:eastAsia="Calibri" w:hAnsi="Cambria"/>
          <w:b/>
          <w:szCs w:val="22"/>
          <w:lang w:eastAsia="en-US"/>
        </w:rPr>
        <w:t>Dodavatel - (případně reprezentant sdružení)</w:t>
      </w:r>
    </w:p>
    <w:tbl>
      <w:tblPr>
        <w:tblW w:w="9212" w:type="dxa"/>
        <w:tblInd w:w="108" w:type="dxa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nThickSmallGap" w:sz="18" w:space="0" w:color="4F6228" w:themeColor="accent3" w:themeShade="80"/>
          <w:right w:val="thinThickSmallGap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716DE9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716DE9" w:rsidRPr="004860FA" w:rsidRDefault="00716DE9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716DE9" w:rsidRPr="004860FA" w:rsidRDefault="00277DD9" w:rsidP="000C31FA">
            <w:pPr>
              <w:spacing w:before="120" w:after="1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0551A7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0551A7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Telefon</w:t>
            </w:r>
            <w:r w:rsidR="00456006"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0C31FA">
        <w:tc>
          <w:tcPr>
            <w:tcW w:w="3227" w:type="dxa"/>
            <w:shd w:val="clear" w:color="auto" w:fill="D6E3BC" w:themeFill="accent3" w:themeFillTint="66"/>
            <w:vAlign w:val="center"/>
          </w:tcPr>
          <w:p w:rsidR="00456006" w:rsidRPr="004860FA" w:rsidRDefault="00456006" w:rsidP="000C31FA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  <w:vAlign w:val="center"/>
          </w:tcPr>
          <w:p w:rsidR="00456006" w:rsidRPr="004860FA" w:rsidRDefault="00277DD9" w:rsidP="000C31FA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4860FA" w:rsidRDefault="00716DE9" w:rsidP="000551A7">
      <w:pPr>
        <w:spacing w:after="200" w:line="276" w:lineRule="auto"/>
        <w:ind w:left="-142" w:right="-142"/>
        <w:jc w:val="both"/>
        <w:rPr>
          <w:rFonts w:ascii="Cambria" w:eastAsia="Calibri" w:hAnsi="Cambria"/>
          <w:i/>
          <w:sz w:val="20"/>
          <w:szCs w:val="22"/>
          <w:lang w:eastAsia="en-US"/>
        </w:rPr>
      </w:pPr>
      <w:r w:rsidRPr="004860FA">
        <w:rPr>
          <w:rFonts w:ascii="Cambria" w:eastAsia="Calibri" w:hAnsi="Cambria"/>
          <w:i/>
          <w:sz w:val="20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4860FA" w:rsidRDefault="00716DE9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4860FA" w:rsidRDefault="00716DE9" w:rsidP="000C31FA">
      <w:pPr>
        <w:pBdr>
          <w:bottom w:val="single" w:sz="18" w:space="1" w:color="4F6228" w:themeColor="accent3" w:themeShade="80"/>
        </w:pBdr>
        <w:spacing w:after="200" w:line="276" w:lineRule="auto"/>
        <w:jc w:val="center"/>
        <w:rPr>
          <w:rFonts w:ascii="Cambria" w:eastAsia="Calibri" w:hAnsi="Cambria"/>
          <w:szCs w:val="22"/>
          <w:lang w:eastAsia="en-US"/>
        </w:rPr>
      </w:pPr>
      <w:r w:rsidRPr="004860FA">
        <w:rPr>
          <w:rFonts w:ascii="Cambria" w:eastAsia="Calibri" w:hAnsi="Cambria"/>
          <w:b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nThickSmallGap" w:sz="18" w:space="0" w:color="4F6228" w:themeColor="accent3" w:themeShade="80"/>
          <w:right w:val="thinThickSmallGap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4860FA" w:rsidTr="008D3267">
        <w:trPr>
          <w:trHeight w:val="803"/>
        </w:trPr>
        <w:tc>
          <w:tcPr>
            <w:tcW w:w="4644" w:type="dxa"/>
            <w:tcBorders>
              <w:top w:val="thinThickSmallGap" w:sz="18" w:space="0" w:color="4F6228" w:themeColor="accent3" w:themeShade="80"/>
              <w:bottom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716DE9" w:rsidRPr="004860FA" w:rsidRDefault="00CE26C5" w:rsidP="008D3267">
            <w:pPr>
              <w:keepNext/>
              <w:spacing w:before="120" w:after="120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  <w:r w:rsidR="000551A7" w:rsidRPr="004860FA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4644" w:type="dxa"/>
            <w:tcBorders>
              <w:top w:val="thinThickSmallGap" w:sz="18" w:space="0" w:color="4F6228" w:themeColor="accent3" w:themeShade="80"/>
              <w:bottom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716DE9" w:rsidRPr="004860FA" w:rsidRDefault="00716DE9" w:rsidP="008D3267">
            <w:pPr>
              <w:keepNext/>
              <w:spacing w:before="120" w:after="120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4860FA" w:rsidTr="00786B51">
        <w:trPr>
          <w:trHeight w:val="1235"/>
        </w:trPr>
        <w:tc>
          <w:tcPr>
            <w:tcW w:w="4644" w:type="dxa"/>
            <w:tcBorders>
              <w:top w:val="thinThickSmallGap" w:sz="18" w:space="0" w:color="4F6228" w:themeColor="accent3" w:themeShade="80"/>
              <w:bottom w:val="single" w:sz="4" w:space="0" w:color="auto"/>
            </w:tcBorders>
          </w:tcPr>
          <w:p w:rsidR="00716DE9" w:rsidRPr="004860FA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4860FA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4860FA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4860FA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  <w:tcBorders>
              <w:top w:val="thinThickSmallGap" w:sz="18" w:space="0" w:color="4F6228" w:themeColor="accent3" w:themeShade="80"/>
              <w:bottom w:val="single" w:sz="4" w:space="0" w:color="auto"/>
            </w:tcBorders>
            <w:vAlign w:val="center"/>
          </w:tcPr>
          <w:p w:rsidR="00716DE9" w:rsidRPr="004860FA" w:rsidRDefault="00277DD9" w:rsidP="00582F7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86B51" w:rsidRPr="004860FA" w:rsidTr="008D3267">
        <w:trPr>
          <w:trHeight w:val="1235"/>
        </w:trPr>
        <w:tc>
          <w:tcPr>
            <w:tcW w:w="4644" w:type="dxa"/>
            <w:tcBorders>
              <w:top w:val="single" w:sz="4" w:space="0" w:color="auto"/>
              <w:bottom w:val="thinThickSmallGap" w:sz="18" w:space="0" w:color="4F6228" w:themeColor="accent3" w:themeShade="80"/>
            </w:tcBorders>
          </w:tcPr>
          <w:p w:rsidR="00786B51" w:rsidRPr="004860FA" w:rsidRDefault="00786B51" w:rsidP="00DA0837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včetně DPH</w:t>
            </w:r>
          </w:p>
          <w:p w:rsidR="00786B51" w:rsidRPr="004860FA" w:rsidRDefault="00786B51" w:rsidP="00DA0837">
            <w:pPr>
              <w:keepNext/>
              <w:spacing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včetně DPH.</w:t>
            </w:r>
          </w:p>
        </w:tc>
        <w:tc>
          <w:tcPr>
            <w:tcW w:w="4644" w:type="dxa"/>
            <w:tcBorders>
              <w:top w:val="single" w:sz="4" w:space="0" w:color="auto"/>
              <w:bottom w:val="thinThickSmallGap" w:sz="18" w:space="0" w:color="4F6228" w:themeColor="accent3" w:themeShade="80"/>
            </w:tcBorders>
            <w:vAlign w:val="center"/>
          </w:tcPr>
          <w:p w:rsidR="00786B51" w:rsidRPr="004860FA" w:rsidRDefault="00277DD9" w:rsidP="00DA0837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6B51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786B51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86B51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86B51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86B51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786B51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8D3267" w:rsidRPr="004860FA" w:rsidTr="008D3267">
        <w:trPr>
          <w:trHeight w:val="800"/>
        </w:trPr>
        <w:tc>
          <w:tcPr>
            <w:tcW w:w="4644" w:type="dxa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3267" w:rsidRPr="004860FA" w:rsidRDefault="008D3267" w:rsidP="008D3267">
            <w:pPr>
              <w:keepNext/>
              <w:spacing w:before="120" w:after="120"/>
              <w:outlineLvl w:val="3"/>
              <w:rPr>
                <w:rFonts w:ascii="Cambria" w:hAnsi="Cambria"/>
                <w:b/>
                <w:bCs/>
                <w:smallCap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smallCaps/>
                <w:sz w:val="22"/>
                <w:szCs w:val="22"/>
                <w:lang w:eastAsia="en-US"/>
              </w:rPr>
              <w:t>Termín dodání v kalendářních dnech</w:t>
            </w:r>
          </w:p>
        </w:tc>
        <w:tc>
          <w:tcPr>
            <w:tcW w:w="4644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8D3267" w:rsidRPr="004860FA" w:rsidRDefault="008D3267" w:rsidP="008D3267">
            <w:pPr>
              <w:keepNext/>
              <w:spacing w:before="120" w:after="120"/>
              <w:jc w:val="center"/>
              <w:outlineLvl w:val="3"/>
              <w:rPr>
                <w:rFonts w:ascii="Cambria" w:eastAsia="Calibri" w:hAnsi="Cambria"/>
                <w:b/>
                <w:sz w:val="22"/>
                <w:szCs w:val="22"/>
                <w:highlight w:val="yellow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NABÍDKA DODAVATELE</w:t>
            </w:r>
          </w:p>
        </w:tc>
      </w:tr>
      <w:tr w:rsidR="008D3267" w:rsidRPr="004860FA" w:rsidTr="008D3267">
        <w:trPr>
          <w:trHeight w:val="1235"/>
        </w:trPr>
        <w:tc>
          <w:tcPr>
            <w:tcW w:w="4644" w:type="dxa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</w:tcPr>
          <w:p w:rsidR="008D3267" w:rsidRPr="004860FA" w:rsidRDefault="008D3267" w:rsidP="008D3267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B87E9E">
              <w:rPr>
                <w:rFonts w:ascii="Cambria" w:hAnsi="Cambria"/>
                <w:bCs/>
                <w:sz w:val="22"/>
                <w:szCs w:val="22"/>
                <w:lang w:eastAsia="en-US"/>
              </w:rPr>
              <w:t>Zadavatel požaduje, aby termín dodání v kalendářních dnech byl minimálně 30 a maximálně 60 kalendářních dnů od doručení písemného pokynu zadavatele</w:t>
            </w:r>
            <w:r w:rsidRPr="004860FA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k zahájení plnění (objednávky)</w:t>
            </w:r>
          </w:p>
        </w:tc>
        <w:tc>
          <w:tcPr>
            <w:tcW w:w="4644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8D3267" w:rsidRPr="004860FA" w:rsidRDefault="00277DD9" w:rsidP="00F0402A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8D3267" w:rsidRPr="004860FA" w:rsidTr="008D3267">
        <w:trPr>
          <w:trHeight w:val="746"/>
        </w:trPr>
        <w:tc>
          <w:tcPr>
            <w:tcW w:w="4644" w:type="dxa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3267" w:rsidRPr="004860FA" w:rsidRDefault="008D3267" w:rsidP="008D3267">
            <w:pPr>
              <w:keepNext/>
              <w:spacing w:before="120" w:after="120"/>
              <w:outlineLvl w:val="3"/>
              <w:rPr>
                <w:rFonts w:ascii="Cambria" w:hAnsi="Cambria"/>
                <w:b/>
                <w:bCs/>
                <w:smallCap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/>
                <w:bCs/>
                <w:smallCaps/>
                <w:sz w:val="22"/>
                <w:szCs w:val="22"/>
                <w:lang w:eastAsia="en-US"/>
              </w:rPr>
              <w:t>Rychlost servisního zásahu v hodinách</w:t>
            </w:r>
          </w:p>
        </w:tc>
        <w:tc>
          <w:tcPr>
            <w:tcW w:w="4644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8D3267" w:rsidRPr="004860FA" w:rsidRDefault="008D3267" w:rsidP="008D3267">
            <w:pPr>
              <w:keepNext/>
              <w:spacing w:before="120" w:after="120"/>
              <w:jc w:val="center"/>
              <w:outlineLvl w:val="3"/>
              <w:rPr>
                <w:rFonts w:ascii="Cambria" w:eastAsia="Calibri" w:hAnsi="Cambria"/>
                <w:b/>
                <w:sz w:val="22"/>
                <w:szCs w:val="22"/>
                <w:highlight w:val="yellow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NABÍDKA DODAVATELE</w:t>
            </w:r>
          </w:p>
        </w:tc>
      </w:tr>
      <w:tr w:rsidR="008D3267" w:rsidRPr="004860FA" w:rsidTr="008D3267">
        <w:trPr>
          <w:trHeight w:val="1235"/>
        </w:trPr>
        <w:tc>
          <w:tcPr>
            <w:tcW w:w="4644" w:type="dxa"/>
            <w:tcBorders>
              <w:top w:val="single" w:sz="4" w:space="0" w:color="auto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</w:tcPr>
          <w:p w:rsidR="008D3267" w:rsidRPr="004860FA" w:rsidRDefault="008D3267" w:rsidP="008D3267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4860FA">
              <w:rPr>
                <w:rFonts w:ascii="Cambria" w:hAnsi="Cambria"/>
                <w:bCs/>
                <w:sz w:val="22"/>
                <w:szCs w:val="22"/>
                <w:lang w:eastAsia="en-US"/>
              </w:rPr>
              <w:t>Zadavatel požaduje, aby započetí opravy bylo zajištěno v délce nejvíce 48 hodin od nahlášení vady v pracovních dnech. (se zaokrouhlením na celé hodiny)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8D3267" w:rsidRPr="004860FA" w:rsidRDefault="00277DD9" w:rsidP="00F0402A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="008D3267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4860FA" w:rsidRDefault="00C7767D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7767D" w:rsidRPr="004860FA" w:rsidRDefault="00C7767D" w:rsidP="00582F73">
      <w:pPr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716DE9" w:rsidRPr="004860FA" w:rsidRDefault="00716DE9" w:rsidP="00582F73">
      <w:pPr>
        <w:pBdr>
          <w:bottom w:val="single" w:sz="18" w:space="1" w:color="4F6228" w:themeColor="accent3" w:themeShade="80"/>
        </w:pBdr>
        <w:spacing w:after="200" w:line="276" w:lineRule="auto"/>
        <w:jc w:val="center"/>
        <w:rPr>
          <w:rFonts w:ascii="Cambria" w:eastAsia="Calibri" w:hAnsi="Cambria"/>
          <w:b/>
          <w:szCs w:val="22"/>
          <w:lang w:eastAsia="en-US"/>
        </w:rPr>
      </w:pPr>
      <w:r w:rsidRPr="004860FA">
        <w:rPr>
          <w:rFonts w:ascii="Cambria" w:eastAsia="Calibri" w:hAnsi="Cambria"/>
          <w:b/>
          <w:szCs w:val="22"/>
          <w:lang w:eastAsia="en-US"/>
        </w:rPr>
        <w:t xml:space="preserve">Oprávněná osoba k podání nabídky za dodavatele </w:t>
      </w:r>
      <w:bookmarkStart w:id="1" w:name="_GoBack"/>
      <w:bookmarkEnd w:id="1"/>
    </w:p>
    <w:tbl>
      <w:tblPr>
        <w:tblW w:w="0" w:type="auto"/>
        <w:tblBorders>
          <w:top w:val="thinThickSmallGap" w:sz="18" w:space="0" w:color="4F6228" w:themeColor="accent3" w:themeShade="80"/>
          <w:left w:val="thinThickSmallGap" w:sz="18" w:space="0" w:color="4F6228" w:themeColor="accent3" w:themeShade="80"/>
          <w:bottom w:val="thinThickSmallGap" w:sz="18" w:space="0" w:color="4F6228" w:themeColor="accent3" w:themeShade="80"/>
          <w:right w:val="thinThickSmallGap" w:sz="18" w:space="0" w:color="4F6228" w:themeColor="accent3" w:themeShade="80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4860FA" w:rsidTr="00582F73">
        <w:tc>
          <w:tcPr>
            <w:tcW w:w="2802" w:type="dxa"/>
            <w:shd w:val="clear" w:color="auto" w:fill="D6E3BC" w:themeFill="accent3" w:themeFillTint="66"/>
            <w:vAlign w:val="center"/>
          </w:tcPr>
          <w:p w:rsidR="00456006" w:rsidRPr="004860FA" w:rsidRDefault="00456006" w:rsidP="00786B51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:rsidR="00456006" w:rsidRPr="004860FA" w:rsidRDefault="00277DD9" w:rsidP="00582F73">
            <w:pPr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582F73">
        <w:tc>
          <w:tcPr>
            <w:tcW w:w="2802" w:type="dxa"/>
            <w:shd w:val="clear" w:color="auto" w:fill="D6E3BC" w:themeFill="accent3" w:themeFillTint="66"/>
            <w:vAlign w:val="center"/>
          </w:tcPr>
          <w:p w:rsidR="00456006" w:rsidRPr="004860FA" w:rsidRDefault="00456006" w:rsidP="00786B51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:rsidR="00456006" w:rsidRPr="004860FA" w:rsidRDefault="00277DD9" w:rsidP="00582F73">
            <w:pPr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860FA" w:rsidTr="00582F73">
        <w:tc>
          <w:tcPr>
            <w:tcW w:w="2802" w:type="dxa"/>
            <w:shd w:val="clear" w:color="auto" w:fill="D6E3BC" w:themeFill="accent3" w:themeFillTint="66"/>
            <w:vAlign w:val="center"/>
          </w:tcPr>
          <w:p w:rsidR="00456006" w:rsidRPr="004860FA" w:rsidRDefault="00456006" w:rsidP="00786B51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:rsidR="00456006" w:rsidRPr="004860FA" w:rsidRDefault="00277DD9" w:rsidP="00582F73">
            <w:pPr>
              <w:rPr>
                <w:rFonts w:ascii="Cambria" w:hAnsi="Cambria"/>
                <w:sz w:val="22"/>
                <w:szCs w:val="22"/>
              </w:rPr>
            </w:pP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860FA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860FA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4860FA" w:rsidTr="00582F73">
        <w:trPr>
          <w:trHeight w:val="1839"/>
        </w:trPr>
        <w:tc>
          <w:tcPr>
            <w:tcW w:w="2802" w:type="dxa"/>
            <w:shd w:val="clear" w:color="auto" w:fill="D6E3BC" w:themeFill="accent3" w:themeFillTint="66"/>
            <w:vAlign w:val="center"/>
          </w:tcPr>
          <w:p w:rsidR="00716DE9" w:rsidRPr="004860FA" w:rsidRDefault="00716DE9" w:rsidP="00786B51">
            <w:pPr>
              <w:spacing w:before="120" w:after="120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4860FA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:rsidR="00716DE9" w:rsidRPr="004860FA" w:rsidRDefault="00716DE9" w:rsidP="00582F73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4860FA" w:rsidRDefault="00FD0495">
      <w:pPr>
        <w:rPr>
          <w:rFonts w:ascii="Cambria" w:hAnsi="Cambria"/>
          <w:sz w:val="22"/>
          <w:szCs w:val="22"/>
        </w:rPr>
      </w:pPr>
    </w:p>
    <w:sectPr w:rsidR="00FD0495" w:rsidRPr="004860FA" w:rsidSect="008D32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56B0"/>
    <w:rsid w:val="00043747"/>
    <w:rsid w:val="00054CAF"/>
    <w:rsid w:val="000551A7"/>
    <w:rsid w:val="000C23F6"/>
    <w:rsid w:val="000C31FA"/>
    <w:rsid w:val="000C3B15"/>
    <w:rsid w:val="000E14B0"/>
    <w:rsid w:val="001028C3"/>
    <w:rsid w:val="001065E8"/>
    <w:rsid w:val="00106961"/>
    <w:rsid w:val="00116068"/>
    <w:rsid w:val="001D7113"/>
    <w:rsid w:val="001E0396"/>
    <w:rsid w:val="001E6260"/>
    <w:rsid w:val="002015DD"/>
    <w:rsid w:val="00222308"/>
    <w:rsid w:val="00242772"/>
    <w:rsid w:val="00270B7E"/>
    <w:rsid w:val="00277DD9"/>
    <w:rsid w:val="002814C3"/>
    <w:rsid w:val="002857A5"/>
    <w:rsid w:val="0029799D"/>
    <w:rsid w:val="002B7324"/>
    <w:rsid w:val="002D4B55"/>
    <w:rsid w:val="002D5632"/>
    <w:rsid w:val="002E6F5B"/>
    <w:rsid w:val="00310E07"/>
    <w:rsid w:val="00323898"/>
    <w:rsid w:val="0037041B"/>
    <w:rsid w:val="00384C16"/>
    <w:rsid w:val="003B4FCE"/>
    <w:rsid w:val="003D5A8A"/>
    <w:rsid w:val="004372CE"/>
    <w:rsid w:val="0045175B"/>
    <w:rsid w:val="00456006"/>
    <w:rsid w:val="004823EE"/>
    <w:rsid w:val="004837BB"/>
    <w:rsid w:val="004860FA"/>
    <w:rsid w:val="004B06D9"/>
    <w:rsid w:val="004D4B51"/>
    <w:rsid w:val="004F0697"/>
    <w:rsid w:val="00547DD6"/>
    <w:rsid w:val="00550903"/>
    <w:rsid w:val="00552513"/>
    <w:rsid w:val="00571CF1"/>
    <w:rsid w:val="00582F73"/>
    <w:rsid w:val="005D5409"/>
    <w:rsid w:val="0063049B"/>
    <w:rsid w:val="0063697F"/>
    <w:rsid w:val="00644493"/>
    <w:rsid w:val="006724F8"/>
    <w:rsid w:val="006B3409"/>
    <w:rsid w:val="00711A42"/>
    <w:rsid w:val="00716DE9"/>
    <w:rsid w:val="0074010F"/>
    <w:rsid w:val="0077330E"/>
    <w:rsid w:val="0078235E"/>
    <w:rsid w:val="00786B51"/>
    <w:rsid w:val="007F070E"/>
    <w:rsid w:val="008179E0"/>
    <w:rsid w:val="0089357E"/>
    <w:rsid w:val="008A2AF8"/>
    <w:rsid w:val="008D3267"/>
    <w:rsid w:val="008E285F"/>
    <w:rsid w:val="009162E6"/>
    <w:rsid w:val="00916A9A"/>
    <w:rsid w:val="0092188B"/>
    <w:rsid w:val="00922770"/>
    <w:rsid w:val="009333C1"/>
    <w:rsid w:val="00945B9F"/>
    <w:rsid w:val="009472EF"/>
    <w:rsid w:val="00983365"/>
    <w:rsid w:val="00984F28"/>
    <w:rsid w:val="0098543A"/>
    <w:rsid w:val="009B1564"/>
    <w:rsid w:val="009E2656"/>
    <w:rsid w:val="009F33E7"/>
    <w:rsid w:val="009F3FAA"/>
    <w:rsid w:val="00A12C7B"/>
    <w:rsid w:val="00A82082"/>
    <w:rsid w:val="00AA0EFE"/>
    <w:rsid w:val="00AA2CBF"/>
    <w:rsid w:val="00AC2468"/>
    <w:rsid w:val="00B2639E"/>
    <w:rsid w:val="00B3701A"/>
    <w:rsid w:val="00B87E9E"/>
    <w:rsid w:val="00BB07BE"/>
    <w:rsid w:val="00C31F1F"/>
    <w:rsid w:val="00C44601"/>
    <w:rsid w:val="00C53353"/>
    <w:rsid w:val="00C56D36"/>
    <w:rsid w:val="00C57C1F"/>
    <w:rsid w:val="00C7767D"/>
    <w:rsid w:val="00CC2149"/>
    <w:rsid w:val="00CE26C5"/>
    <w:rsid w:val="00D03041"/>
    <w:rsid w:val="00D633C3"/>
    <w:rsid w:val="00DB3E55"/>
    <w:rsid w:val="00DB6086"/>
    <w:rsid w:val="00DC49FF"/>
    <w:rsid w:val="00E234FB"/>
    <w:rsid w:val="00E56FEF"/>
    <w:rsid w:val="00E64C4D"/>
    <w:rsid w:val="00E8141A"/>
    <w:rsid w:val="00E94647"/>
    <w:rsid w:val="00E9668D"/>
    <w:rsid w:val="00ED7D70"/>
    <w:rsid w:val="00EE63CC"/>
    <w:rsid w:val="00F20682"/>
    <w:rsid w:val="00F44107"/>
    <w:rsid w:val="00F54B80"/>
    <w:rsid w:val="00F676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049A-6B2F-403B-AEEB-3AF7641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 Frömel - RPA</cp:lastModifiedBy>
  <cp:revision>33</cp:revision>
  <dcterms:created xsi:type="dcterms:W3CDTF">2017-09-05T11:55:00Z</dcterms:created>
  <dcterms:modified xsi:type="dcterms:W3CDTF">2021-02-26T10:27:00Z</dcterms:modified>
</cp:coreProperties>
</file>