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lash Display" w:eastAsiaTheme="minorHAnsi" w:hAnsi="Clash Display"/>
          <w:b w:val="0"/>
          <w:color w:val="000000" w:themeColor="text1"/>
          <w:kern w:val="2"/>
          <w:sz w:val="2"/>
          <w:szCs w:val="24"/>
          <w:lang w:val="cs-CZ" w:eastAsia="en-US"/>
          <w14:ligatures w14:val="standardContextual"/>
        </w:rPr>
        <w:id w:val="2007624009"/>
        <w:docPartObj>
          <w:docPartGallery w:val="Cover Pages"/>
          <w:docPartUnique/>
        </w:docPartObj>
      </w:sdtPr>
      <w:sdtEndPr>
        <w:rPr>
          <w:rFonts w:ascii="Montserrat" w:eastAsia="Times New Roman" w:hAnsi="Montserrat"/>
          <w:color w:val="auto"/>
          <w:kern w:val="0"/>
          <w:sz w:val="56"/>
          <w:szCs w:val="56"/>
          <w:lang w:eastAsia="cs-CZ"/>
          <w14:ligatures w14:val="none"/>
        </w:rPr>
      </w:sdtEndPr>
      <w:sdtContent>
        <w:p w14:paraId="3A186438" w14:textId="078C6616" w:rsidR="005F2674" w:rsidRPr="0070458D" w:rsidRDefault="00633142">
          <w:pPr>
            <w:pStyle w:val="Bezmezer"/>
            <w:rPr>
              <w:sz w:val="2"/>
              <w:lang w:val="cs-CZ"/>
            </w:rPr>
          </w:pPr>
          <w:r>
            <w:rPr>
              <w:noProof/>
              <w:sz w:val="56"/>
              <w:szCs w:val="56"/>
            </w:rPr>
            <w:drawing>
              <wp:anchor distT="0" distB="0" distL="114300" distR="114300" simplePos="0" relativeHeight="251658242" behindDoc="0" locked="0" layoutInCell="1" allowOverlap="1" wp14:anchorId="3AC311F3" wp14:editId="30D841B5">
                <wp:simplePos x="0" y="0"/>
                <wp:positionH relativeFrom="margin">
                  <wp:posOffset>407449</wp:posOffset>
                </wp:positionH>
                <wp:positionV relativeFrom="margin">
                  <wp:posOffset>3810</wp:posOffset>
                </wp:positionV>
                <wp:extent cx="5170170" cy="2190115"/>
                <wp:effectExtent l="0" t="0" r="0" b="0"/>
                <wp:wrapSquare wrapText="bothSides"/>
                <wp:docPr id="1378513937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8513937" name="Obrázek 3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0170" cy="2190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4C98931" w14:textId="3CC470B2" w:rsidR="005F2674" w:rsidRPr="0070458D" w:rsidRDefault="005F2674"/>
        <w:p w14:paraId="52BCD7C9" w14:textId="4C01F259" w:rsidR="005F2674" w:rsidRPr="0070458D" w:rsidRDefault="0023635D" w:rsidP="00F53656">
          <w:pPr>
            <w:rPr>
              <w:sz w:val="56"/>
              <w:szCs w:val="56"/>
            </w:rPr>
          </w:pPr>
          <w:r w:rsidRPr="0070458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2A0F644" wp14:editId="3BDCED82">
                    <wp:simplePos x="0" y="0"/>
                    <wp:positionH relativeFrom="page">
                      <wp:posOffset>1094740</wp:posOffset>
                    </wp:positionH>
                    <wp:positionV relativeFrom="margin">
                      <wp:posOffset>3384520</wp:posOffset>
                    </wp:positionV>
                    <wp:extent cx="5513070" cy="1254642"/>
                    <wp:effectExtent l="0" t="0" r="0" b="0"/>
                    <wp:wrapNone/>
                    <wp:docPr id="62" name="Textové pole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3070" cy="12546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C0A57D" w14:textId="75356E5C" w:rsidR="00633142" w:rsidRPr="0023635D" w:rsidRDefault="00AD7F3D" w:rsidP="00633142">
                                <w:pPr>
                                  <w:pStyle w:val="Nzev"/>
                                  <w:rPr>
                                    <w:sz w:val="160"/>
                                    <w:szCs w:val="96"/>
                                  </w:rPr>
                                </w:pPr>
                                <w:r>
                                  <w:rPr>
                                    <w:rStyle w:val="Nadpis1Char"/>
                                    <w:sz w:val="72"/>
                                    <w:szCs w:val="52"/>
                                  </w:rPr>
                                  <w:t>Specifikace předmětu plnění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A0F644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9" o:spid="_x0000_s1026" type="#_x0000_t202" style="position:absolute;margin-left:86.2pt;margin-top:266.5pt;width:434.1pt;height:9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" filled="f" stroked="f" strokeweight=".5pt">
                    <v:textbox>
                      <w:txbxContent>
                        <w:p w14:paraId="0EC0A57D" w14:textId="75356E5C" w:rsidR="00633142" w:rsidRPr="0023635D" w:rsidRDefault="00AD7F3D" w:rsidP="00633142">
                          <w:pPr>
                            <w:pStyle w:val="Nzev"/>
                            <w:rPr>
                              <w:sz w:val="160"/>
                              <w:szCs w:val="96"/>
                            </w:rPr>
                          </w:pPr>
                          <w:r>
                            <w:rPr>
                              <w:rStyle w:val="Nadpis1Char"/>
                              <w:sz w:val="72"/>
                              <w:szCs w:val="52"/>
                            </w:rPr>
                            <w:t>Specifikace předmětu plnění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5F2674" w:rsidRPr="0070458D">
            <w:rPr>
              <w:sz w:val="56"/>
              <w:szCs w:val="56"/>
            </w:rPr>
            <w:br w:type="page"/>
          </w:r>
        </w:p>
      </w:sdtContent>
    </w:sdt>
    <w:p w14:paraId="05F15FF7" w14:textId="14B5BA84" w:rsidR="005F2674" w:rsidRPr="0070458D" w:rsidRDefault="005F2674" w:rsidP="005F2674"/>
    <w:sdt>
      <w:sdtPr>
        <w:rPr>
          <w:highlight w:val="yellow"/>
        </w:rPr>
        <w:id w:val="369120728"/>
        <w:docPartObj>
          <w:docPartGallery w:val="Table of Contents"/>
          <w:docPartUnique/>
        </w:docPartObj>
      </w:sdtPr>
      <w:sdtEndPr/>
      <w:sdtContent>
        <w:p w14:paraId="2A2E5BB2" w14:textId="200549EA" w:rsidR="00820A38" w:rsidRPr="007931CA" w:rsidRDefault="00820A38" w:rsidP="005F2674">
          <w:pPr>
            <w:rPr>
              <w:sz w:val="56"/>
              <w:szCs w:val="56"/>
            </w:rPr>
          </w:pPr>
          <w:r w:rsidRPr="007931CA">
            <w:t>Obsah</w:t>
          </w:r>
        </w:p>
        <w:p w14:paraId="7D36541F" w14:textId="2547CFDD" w:rsidR="0023635D" w:rsidRDefault="00820A38">
          <w:pPr>
            <w:pStyle w:val="Obsah1"/>
            <w:tabs>
              <w:tab w:val="right" w:pos="9062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7931CA">
            <w:rPr>
              <w:rFonts w:ascii="Montserrat" w:hAnsi="Montserrat"/>
              <w:b w:val="0"/>
              <w:bCs w:val="0"/>
            </w:rPr>
            <w:fldChar w:fldCharType="begin"/>
          </w:r>
          <w:r w:rsidRPr="007931CA">
            <w:rPr>
              <w:rFonts w:ascii="Montserrat" w:hAnsi="Montserrat"/>
              <w:b w:val="0"/>
              <w:bCs w:val="0"/>
            </w:rPr>
            <w:instrText>TOC \o "1-3" \h \z \u</w:instrText>
          </w:r>
          <w:r w:rsidRPr="007931CA">
            <w:rPr>
              <w:rFonts w:ascii="Montserrat" w:hAnsi="Montserrat"/>
              <w:b w:val="0"/>
              <w:bCs w:val="0"/>
            </w:rPr>
            <w:fldChar w:fldCharType="separate"/>
          </w:r>
          <w:hyperlink w:anchor="_Toc201224453" w:history="1">
            <w:r w:rsidR="0023635D" w:rsidRPr="00D94BD3">
              <w:rPr>
                <w:rStyle w:val="Hypertextovodkaz"/>
                <w:noProof/>
              </w:rPr>
              <w:t>Příloha č. 1 – Technická specifikace</w:t>
            </w:r>
            <w:r w:rsidR="0023635D">
              <w:rPr>
                <w:noProof/>
                <w:webHidden/>
              </w:rPr>
              <w:tab/>
            </w:r>
            <w:r w:rsidR="0023635D">
              <w:rPr>
                <w:noProof/>
                <w:webHidden/>
              </w:rPr>
              <w:fldChar w:fldCharType="begin"/>
            </w:r>
            <w:r w:rsidR="0023635D">
              <w:rPr>
                <w:noProof/>
                <w:webHidden/>
              </w:rPr>
              <w:instrText xml:space="preserve"> PAGEREF _Toc201224453 \h </w:instrText>
            </w:r>
            <w:r w:rsidR="0023635D">
              <w:rPr>
                <w:noProof/>
                <w:webHidden/>
              </w:rPr>
            </w:r>
            <w:r w:rsidR="0023635D">
              <w:rPr>
                <w:noProof/>
                <w:webHidden/>
              </w:rPr>
              <w:fldChar w:fldCharType="separate"/>
            </w:r>
            <w:r w:rsidR="002D037B">
              <w:rPr>
                <w:noProof/>
                <w:webHidden/>
              </w:rPr>
              <w:t>2</w:t>
            </w:r>
            <w:r w:rsidR="0023635D">
              <w:rPr>
                <w:noProof/>
                <w:webHidden/>
              </w:rPr>
              <w:fldChar w:fldCharType="end"/>
            </w:r>
          </w:hyperlink>
        </w:p>
        <w:p w14:paraId="28462DA9" w14:textId="01FD0E08" w:rsidR="0023635D" w:rsidRDefault="0023635D">
          <w:pPr>
            <w:pStyle w:val="Obsah2"/>
            <w:tabs>
              <w:tab w:val="righ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1224454" w:history="1">
            <w:r w:rsidRPr="00D94BD3">
              <w:rPr>
                <w:rStyle w:val="Hypertextovodkaz"/>
                <w:noProof/>
              </w:rPr>
              <w:t>1. Identifikace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_Toc201224454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37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284BD" w14:textId="5662F57B" w:rsidR="0023635D" w:rsidRDefault="0023635D">
          <w:pPr>
            <w:pStyle w:val="Obsah2"/>
            <w:tabs>
              <w:tab w:val="righ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1224455" w:history="1">
            <w:r w:rsidRPr="00D94BD3">
              <w:rPr>
                <w:rStyle w:val="Hypertextovodkaz"/>
                <w:noProof/>
              </w:rPr>
              <w:t>2. Předmět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_Toc201224455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37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B000F" w14:textId="46BBD71F" w:rsidR="0023635D" w:rsidRDefault="0023635D">
          <w:pPr>
            <w:pStyle w:val="Obsah2"/>
            <w:tabs>
              <w:tab w:val="righ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1224456" w:history="1">
            <w:r w:rsidRPr="00D94BD3">
              <w:rPr>
                <w:rStyle w:val="Hypertextovodkaz"/>
                <w:noProof/>
              </w:rPr>
              <w:t>3. Technická specifikace dodávky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_Toc201224456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37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DF82B" w14:textId="2820D8C4" w:rsidR="0023635D" w:rsidRDefault="0023635D">
          <w:pPr>
            <w:pStyle w:val="Obsah3"/>
            <w:tabs>
              <w:tab w:val="righ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224457" w:history="1">
            <w:r w:rsidRPr="00D94BD3">
              <w:rPr>
                <w:rStyle w:val="Hypertextovodkaz"/>
                <w:noProof/>
              </w:rPr>
              <w:t>3.1 Vychystávací vozík s P2L technologií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_Toc201224457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37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676B7" w14:textId="2708A593" w:rsidR="0023635D" w:rsidRDefault="0023635D">
          <w:pPr>
            <w:pStyle w:val="Obsah3"/>
            <w:tabs>
              <w:tab w:val="righ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224458" w:history="1">
            <w:r w:rsidRPr="00D94BD3">
              <w:rPr>
                <w:rStyle w:val="Hypertextovodkaz"/>
                <w:noProof/>
              </w:rPr>
              <w:t>3.2 Bezdrátový snímač čárových kódů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_Toc201224458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37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5364D" w14:textId="45441765" w:rsidR="0023635D" w:rsidRDefault="0023635D">
          <w:pPr>
            <w:pStyle w:val="Obsah2"/>
            <w:tabs>
              <w:tab w:val="righ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1224459" w:history="1">
            <w:r w:rsidRPr="00D94BD3">
              <w:rPr>
                <w:rStyle w:val="Hypertextovodkaz"/>
                <w:noProof/>
              </w:rPr>
              <w:t>4. Podmínky realizace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_Toc201224459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3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1106D" w14:textId="6DBA1BD7" w:rsidR="0023635D" w:rsidRDefault="0023635D">
          <w:pPr>
            <w:pStyle w:val="Obsah3"/>
            <w:tabs>
              <w:tab w:val="righ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224460" w:history="1">
            <w:r w:rsidRPr="00D94BD3">
              <w:rPr>
                <w:rStyle w:val="Hypertextovodkaz"/>
                <w:noProof/>
              </w:rPr>
              <w:t>Místo plnění: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_Toc201224460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3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FE103" w14:textId="61FB5DD8" w:rsidR="0023635D" w:rsidRDefault="0023635D">
          <w:pPr>
            <w:pStyle w:val="Obsah3"/>
            <w:tabs>
              <w:tab w:val="righ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224461" w:history="1">
            <w:r w:rsidRPr="00D94BD3">
              <w:rPr>
                <w:rStyle w:val="Hypertextovodkaz"/>
                <w:noProof/>
              </w:rPr>
              <w:t>Rozsah plnění: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_Toc201224461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3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831DD" w14:textId="19D1B7B9" w:rsidR="0023635D" w:rsidRDefault="0023635D">
          <w:pPr>
            <w:pStyle w:val="Obsah3"/>
            <w:tabs>
              <w:tab w:val="righ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224462" w:history="1">
            <w:r w:rsidRPr="00D94BD3">
              <w:rPr>
                <w:rStyle w:val="Hypertextovodkaz"/>
                <w:noProof/>
              </w:rPr>
              <w:t>Termín realizace: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_Toc201224462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3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DDC34" w14:textId="1C06A8BA" w:rsidR="0023635D" w:rsidRDefault="0023635D">
          <w:pPr>
            <w:pStyle w:val="Obsah3"/>
            <w:tabs>
              <w:tab w:val="righ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224463" w:history="1">
            <w:r w:rsidRPr="00D94BD3">
              <w:rPr>
                <w:rStyle w:val="Hypertextovodkaz"/>
                <w:noProof/>
              </w:rPr>
              <w:t>Předání: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_Toc201224463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3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58676" w14:textId="41D46D8C" w:rsidR="0023635D" w:rsidRDefault="0023635D">
          <w:pPr>
            <w:pStyle w:val="Obsah2"/>
            <w:tabs>
              <w:tab w:val="righ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1224464" w:history="1">
            <w:r w:rsidRPr="00D94BD3">
              <w:rPr>
                <w:rStyle w:val="Hypertextovodkaz"/>
                <w:noProof/>
              </w:rPr>
              <w:t>5. Závěrečná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_Toc201224464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37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07253" w14:textId="5A845952" w:rsidR="00820A38" w:rsidRPr="0070458D" w:rsidRDefault="00820A38">
          <w:r w:rsidRPr="007931CA">
            <w:fldChar w:fldCharType="end"/>
          </w:r>
        </w:p>
      </w:sdtContent>
    </w:sdt>
    <w:p w14:paraId="1E74376B" w14:textId="3D821C99" w:rsidR="00453D0F" w:rsidRPr="0070458D" w:rsidRDefault="00453D0F" w:rsidP="004C3F30">
      <w:pPr>
        <w:pStyle w:val="Obsah3"/>
        <w:rPr>
          <w:i/>
        </w:rPr>
      </w:pPr>
    </w:p>
    <w:p w14:paraId="2AD5E166" w14:textId="77777777" w:rsidR="00A71EC5" w:rsidRPr="0070458D" w:rsidRDefault="00A71EC5">
      <w:pPr>
        <w:rPr>
          <w:rFonts w:ascii="Clash Display Semibold" w:eastAsiaTheme="majorEastAsia" w:hAnsi="Clash Display Semibold" w:cstheme="majorBidi"/>
          <w:b/>
          <w:color w:val="02213B"/>
          <w:sz w:val="48"/>
          <w:szCs w:val="40"/>
        </w:rPr>
      </w:pPr>
      <w:r w:rsidRPr="0070458D">
        <w:br w:type="page"/>
      </w:r>
    </w:p>
    <w:p w14:paraId="1ECB8B78" w14:textId="4CFA1011" w:rsidR="00A77932" w:rsidRDefault="00A77932" w:rsidP="00A77932">
      <w:pPr>
        <w:pStyle w:val="Normlnweb"/>
        <w:rPr>
          <w:rFonts w:ascii="Times New Roman" w:hAnsi="Times New Roman"/>
          <w:color w:val="000000"/>
        </w:rPr>
      </w:pPr>
      <w:bookmarkStart w:id="0" w:name="_Toc201224453"/>
      <w:r w:rsidRPr="00A77932">
        <w:rPr>
          <w:rStyle w:val="Nadpis1Char"/>
        </w:rPr>
        <w:lastRenderedPageBreak/>
        <w:t>Příloha č. 1 – Technická specifikace</w:t>
      </w:r>
      <w:bookmarkEnd w:id="0"/>
      <w:r>
        <w:rPr>
          <w:color w:val="000000"/>
        </w:rPr>
        <w:br/>
      </w:r>
      <w:r>
        <w:rPr>
          <w:rStyle w:val="Zdraznn"/>
          <w:rFonts w:eastAsiaTheme="majorEastAsia"/>
          <w:color w:val="000000"/>
        </w:rPr>
        <w:t>(součást zadávací dokumentace pro účely výběrového řízení)</w:t>
      </w:r>
    </w:p>
    <w:p w14:paraId="01B23D5C" w14:textId="77777777" w:rsidR="00A77932" w:rsidRDefault="00AD7F3D" w:rsidP="00A77932">
      <w:r>
        <w:rPr>
          <w:noProof/>
          <w14:ligatures w14:val="standardContextual"/>
        </w:rPr>
        <w:pict w14:anchorId="42E32AC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DE89FD4" w14:textId="77777777" w:rsidR="00A77932" w:rsidRPr="00A77932" w:rsidRDefault="00A77932" w:rsidP="00A77932">
      <w:pPr>
        <w:pStyle w:val="Nadpis2"/>
      </w:pPr>
      <w:bookmarkStart w:id="1" w:name="_Toc201224454"/>
      <w:r w:rsidRPr="00A77932">
        <w:t>1. Identifikace zadavatele</w:t>
      </w:r>
      <w:bookmarkEnd w:id="1"/>
    </w:p>
    <w:p w14:paraId="044C3253" w14:textId="43A1B61C" w:rsidR="00A77932" w:rsidRP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Název: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Růžový slon s. r. o.</w:t>
      </w:r>
      <w:r>
        <w:rPr>
          <w:color w:val="000000"/>
        </w:rPr>
        <w:br/>
      </w:r>
      <w:r>
        <w:rPr>
          <w:rStyle w:val="Siln"/>
          <w:rFonts w:eastAsiaTheme="majorEastAsia"/>
          <w:color w:val="000000"/>
        </w:rPr>
        <w:t>IČO: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28642317</w:t>
      </w:r>
      <w:r>
        <w:rPr>
          <w:color w:val="000000"/>
        </w:rPr>
        <w:br/>
      </w:r>
      <w:r>
        <w:rPr>
          <w:rStyle w:val="Siln"/>
          <w:rFonts w:eastAsiaTheme="majorEastAsia"/>
          <w:color w:val="000000"/>
        </w:rPr>
        <w:t>DIČ: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CZ28642317</w:t>
      </w:r>
      <w:r>
        <w:rPr>
          <w:color w:val="000000"/>
        </w:rPr>
        <w:br/>
      </w:r>
      <w:r>
        <w:rPr>
          <w:rStyle w:val="Siln"/>
          <w:rFonts w:eastAsiaTheme="majorEastAsia"/>
          <w:color w:val="000000"/>
        </w:rPr>
        <w:t>Sídlo (provozovatel):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Výstavní 1928/9, 702 00 Moravská Ostrava, ČR</w:t>
      </w:r>
      <w:r>
        <w:rPr>
          <w:color w:val="000000"/>
        </w:rPr>
        <w:br/>
      </w:r>
      <w:r>
        <w:rPr>
          <w:rStyle w:val="Siln"/>
          <w:rFonts w:eastAsiaTheme="majorEastAsia"/>
          <w:color w:val="000000"/>
        </w:rPr>
        <w:t>Kontaktní adresa (místo plnění):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U Nádraží 1204/</w:t>
      </w:r>
      <w:proofErr w:type="gramStart"/>
      <w:r>
        <w:rPr>
          <w:color w:val="000000"/>
        </w:rPr>
        <w:t>2a</w:t>
      </w:r>
      <w:proofErr w:type="gramEnd"/>
      <w:r>
        <w:rPr>
          <w:color w:val="000000"/>
        </w:rPr>
        <w:t>, 736 01 Havířov-</w:t>
      </w:r>
      <w:proofErr w:type="spellStart"/>
      <w:r>
        <w:rPr>
          <w:color w:val="000000"/>
        </w:rPr>
        <w:t>Šumbark</w:t>
      </w:r>
      <w:proofErr w:type="spellEnd"/>
      <w:r>
        <w:rPr>
          <w:color w:val="000000"/>
        </w:rPr>
        <w:t>, ČR</w:t>
      </w:r>
      <w:r>
        <w:rPr>
          <w:color w:val="000000"/>
        </w:rPr>
        <w:br/>
      </w:r>
      <w:r>
        <w:rPr>
          <w:rStyle w:val="Siln"/>
          <w:rFonts w:eastAsiaTheme="majorEastAsia"/>
          <w:color w:val="000000"/>
        </w:rPr>
        <w:t>Zapsaná v OR: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vedená u rejstříkového soudu v Ostravě, oddíl C, vložka 36400</w:t>
      </w:r>
    </w:p>
    <w:p w14:paraId="7A3340F6" w14:textId="77777777" w:rsidR="00A77932" w:rsidRPr="00A77932" w:rsidRDefault="00A77932" w:rsidP="00A77932">
      <w:pPr>
        <w:pStyle w:val="Nadpis2"/>
      </w:pPr>
      <w:bookmarkStart w:id="2" w:name="_Toc201224455"/>
      <w:r w:rsidRPr="00A77932">
        <w:t>2. Předmět veřejné zakázky</w:t>
      </w:r>
      <w:bookmarkEnd w:id="2"/>
    </w:p>
    <w:p w14:paraId="1B502105" w14:textId="77777777" w:rsidR="00A77932" w:rsidRDefault="00A77932" w:rsidP="00A77932">
      <w:pPr>
        <w:pStyle w:val="Normlnweb"/>
        <w:rPr>
          <w:color w:val="000000"/>
        </w:rPr>
      </w:pPr>
      <w:r>
        <w:rPr>
          <w:color w:val="000000"/>
        </w:rPr>
        <w:t>Dodávka a implementace jednoho vychystávacího vozíku s integrovanou technologií Pick-to-</w:t>
      </w:r>
      <w:proofErr w:type="spellStart"/>
      <w:r>
        <w:rPr>
          <w:color w:val="000000"/>
        </w:rPr>
        <w:t>Light</w:t>
      </w:r>
      <w:proofErr w:type="spellEnd"/>
      <w:r>
        <w:rPr>
          <w:color w:val="000000"/>
        </w:rPr>
        <w:t xml:space="preserve"> (P2L), řídicím softwarem, bezdrátovým snímačem čárových kódů, veškerým příslušenstvím a zajištěním provozuschopnosti systému v místě plnění.</w:t>
      </w:r>
    </w:p>
    <w:p w14:paraId="28287559" w14:textId="6790F02F" w:rsidR="00A77932" w:rsidRPr="00A77932" w:rsidRDefault="00A77932" w:rsidP="00A77932">
      <w:pPr>
        <w:pStyle w:val="Normlnweb"/>
        <w:rPr>
          <w:color w:val="000000"/>
        </w:rPr>
      </w:pPr>
      <w:r>
        <w:rPr>
          <w:color w:val="000000"/>
        </w:rPr>
        <w:t>Zakázka je jednotná, nepřipouští se její dělení. Nabídky, které nebudou zcela odpovídat specifikaci, budou vyloučeny. Variantní řešení nejsou přípustná.</w:t>
      </w:r>
    </w:p>
    <w:p w14:paraId="332AB2AC" w14:textId="77777777" w:rsidR="00A77932" w:rsidRPr="00A77932" w:rsidRDefault="00A77932" w:rsidP="00A77932">
      <w:pPr>
        <w:pStyle w:val="Nadpis2"/>
      </w:pPr>
      <w:bookmarkStart w:id="3" w:name="_Toc201224456"/>
      <w:r w:rsidRPr="00A77932">
        <w:t>3. Technická specifikace dodávky</w:t>
      </w:r>
      <w:bookmarkEnd w:id="3"/>
    </w:p>
    <w:p w14:paraId="08153413" w14:textId="77777777" w:rsidR="00A77932" w:rsidRPr="00A77932" w:rsidRDefault="00A77932" w:rsidP="00A77932">
      <w:pPr>
        <w:pStyle w:val="Nadpis3"/>
      </w:pPr>
      <w:bookmarkStart w:id="4" w:name="_Toc201224457"/>
      <w:r w:rsidRPr="00A77932">
        <w:t>3.1 Vychystávací vozík s P2L technologií</w:t>
      </w:r>
      <w:bookmarkEnd w:id="4"/>
    </w:p>
    <w:p w14:paraId="307B6A3C" w14:textId="77777777" w:rsid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Konstrukční parametry:</w:t>
      </w:r>
    </w:p>
    <w:p w14:paraId="09A75585" w14:textId="77777777" w:rsidR="00A77932" w:rsidRDefault="00A77932" w:rsidP="00A77932">
      <w:pPr>
        <w:pStyle w:val="Normlnweb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Mobilní trubkový vozík, nerezová konstrukce</w:t>
      </w:r>
    </w:p>
    <w:p w14:paraId="73887AFF" w14:textId="77777777" w:rsidR="00A77932" w:rsidRDefault="00A77932" w:rsidP="00A77932">
      <w:pPr>
        <w:pStyle w:val="Normlnweb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Celková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iln"/>
          <w:rFonts w:eastAsiaTheme="majorEastAsia"/>
          <w:color w:val="000000"/>
        </w:rPr>
        <w:t>výška: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1590 mm</w:t>
      </w:r>
    </w:p>
    <w:p w14:paraId="55E384DE" w14:textId="77777777" w:rsidR="00A77932" w:rsidRDefault="00A77932" w:rsidP="00A77932">
      <w:pPr>
        <w:pStyle w:val="Normlnweb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Celková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iln"/>
          <w:rFonts w:eastAsiaTheme="majorEastAsia"/>
          <w:color w:val="000000"/>
        </w:rPr>
        <w:t>šířka včetně P2L a madla: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max. 500 mm</w:t>
      </w:r>
    </w:p>
    <w:p w14:paraId="146D18A2" w14:textId="77777777" w:rsidR="00A77932" w:rsidRDefault="00A77932" w:rsidP="00A77932">
      <w:pPr>
        <w:pStyle w:val="Normlnweb"/>
        <w:numPr>
          <w:ilvl w:val="0"/>
          <w:numId w:val="24"/>
        </w:numPr>
        <w:rPr>
          <w:color w:val="000000"/>
        </w:rPr>
      </w:pPr>
      <w:r>
        <w:rPr>
          <w:color w:val="000000"/>
        </w:rPr>
        <w:t>Celková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iln"/>
          <w:rFonts w:eastAsiaTheme="majorEastAsia"/>
          <w:color w:val="000000"/>
        </w:rPr>
        <w:t>délka (hloubka):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1193 mm (včetně madla), konstrukce bez madla 1063 mm</w:t>
      </w:r>
    </w:p>
    <w:p w14:paraId="3856CC7A" w14:textId="77777777" w:rsid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Počet polic a jejich rozteče:</w:t>
      </w:r>
    </w:p>
    <w:p w14:paraId="74EF450D" w14:textId="77777777" w:rsidR="00A77932" w:rsidRDefault="00A77932" w:rsidP="00A77932">
      <w:pPr>
        <w:pStyle w:val="Normlnweb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4 úrovně (patra) pro přepravky</w:t>
      </w:r>
    </w:p>
    <w:p w14:paraId="1A38F0AC" w14:textId="77777777" w:rsidR="00A77932" w:rsidRDefault="00A77932" w:rsidP="00A77932">
      <w:pPr>
        <w:pStyle w:val="Normlnweb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Světlá výška mezi policemi: 250 mm</w:t>
      </w:r>
    </w:p>
    <w:p w14:paraId="1575AE02" w14:textId="77777777" w:rsidR="00A77932" w:rsidRDefault="00A77932" w:rsidP="00A77932">
      <w:pPr>
        <w:pStyle w:val="Normlnweb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Spodní podesta ve výšce: 183 mm</w:t>
      </w:r>
    </w:p>
    <w:p w14:paraId="5EA14D0E" w14:textId="77777777" w:rsidR="00A77932" w:rsidRDefault="00A77932" w:rsidP="00A77932">
      <w:pPr>
        <w:pStyle w:val="Normlnweb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 xml:space="preserve">Spodní police z bublinkové desky </w:t>
      </w:r>
      <w:proofErr w:type="spellStart"/>
      <w:r>
        <w:rPr>
          <w:color w:val="000000"/>
        </w:rPr>
        <w:t>tl</w:t>
      </w:r>
      <w:proofErr w:type="spellEnd"/>
      <w:r>
        <w:rPr>
          <w:color w:val="000000"/>
        </w:rPr>
        <w:t>. 10 mm (šedá barva)</w:t>
      </w:r>
    </w:p>
    <w:p w14:paraId="6D15F31E" w14:textId="77777777" w:rsid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lastRenderedPageBreak/>
        <w:t>Přepravky:</w:t>
      </w:r>
    </w:p>
    <w:p w14:paraId="7E1CA85A" w14:textId="77777777" w:rsidR="00A77932" w:rsidRDefault="00A77932" w:rsidP="00A77932">
      <w:pPr>
        <w:pStyle w:val="Normlnweb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Vozík je určen výhradně pro dvě typizované velikosti plastových přepravek:</w:t>
      </w:r>
    </w:p>
    <w:p w14:paraId="2C737876" w14:textId="77777777" w:rsidR="00A77932" w:rsidRDefault="00A77932" w:rsidP="00A77932">
      <w:pPr>
        <w:pStyle w:val="Normlnweb"/>
        <w:numPr>
          <w:ilvl w:val="1"/>
          <w:numId w:val="26"/>
        </w:numPr>
        <w:rPr>
          <w:color w:val="000000"/>
        </w:rPr>
      </w:pPr>
      <w:r>
        <w:rPr>
          <w:rStyle w:val="Siln"/>
          <w:rFonts w:eastAsiaTheme="majorEastAsia"/>
          <w:color w:val="000000"/>
        </w:rPr>
        <w:t>šířka 234 mm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(větší typ, modře označeno ve výkresu)</w:t>
      </w:r>
    </w:p>
    <w:p w14:paraId="64E112C5" w14:textId="77777777" w:rsidR="00A77932" w:rsidRDefault="00A77932" w:rsidP="00A77932">
      <w:pPr>
        <w:pStyle w:val="Normlnweb"/>
        <w:numPr>
          <w:ilvl w:val="1"/>
          <w:numId w:val="26"/>
        </w:numPr>
        <w:rPr>
          <w:color w:val="000000"/>
        </w:rPr>
      </w:pPr>
      <w:r>
        <w:rPr>
          <w:rStyle w:val="Siln"/>
          <w:rFonts w:eastAsiaTheme="majorEastAsia"/>
          <w:color w:val="000000"/>
        </w:rPr>
        <w:t>šířka 156 mm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(menší typ, zeleně označeno ve výkresu)</w:t>
      </w:r>
    </w:p>
    <w:p w14:paraId="2999E97B" w14:textId="77777777" w:rsidR="00A77932" w:rsidRDefault="00A77932" w:rsidP="00A77932">
      <w:pPr>
        <w:pStyle w:val="Normlnweb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>Obě varianty musí být pevně uchyceny a identifikovatelné P2L systémem</w:t>
      </w:r>
    </w:p>
    <w:p w14:paraId="109EEC54" w14:textId="77777777" w:rsid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Manipulační a konstrukční prvky:</w:t>
      </w:r>
    </w:p>
    <w:p w14:paraId="3BDD016C" w14:textId="77777777" w:rsidR="00A77932" w:rsidRDefault="00A77932" w:rsidP="00A77932">
      <w:pPr>
        <w:pStyle w:val="Normlnwe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2× otočné kolečko s brzdou, Ø100 mm</w:t>
      </w:r>
    </w:p>
    <w:p w14:paraId="288C5AD6" w14:textId="77777777" w:rsidR="00A77932" w:rsidRDefault="00A77932" w:rsidP="00A77932">
      <w:pPr>
        <w:pStyle w:val="Normlnwe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2× otočné kolečko s aretací směru, Ø100 mm</w:t>
      </w:r>
    </w:p>
    <w:p w14:paraId="2B858BFA" w14:textId="77777777" w:rsidR="00A77932" w:rsidRDefault="00A77932" w:rsidP="00A77932">
      <w:pPr>
        <w:pStyle w:val="Normlnwe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1× pevné madlo po kratší straně</w:t>
      </w:r>
    </w:p>
    <w:p w14:paraId="3D57AD31" w14:textId="77777777" w:rsidR="00A77932" w:rsidRDefault="00A77932" w:rsidP="00A77932">
      <w:pPr>
        <w:pStyle w:val="Normlnweb"/>
        <w:numPr>
          <w:ilvl w:val="0"/>
          <w:numId w:val="27"/>
        </w:numPr>
        <w:rPr>
          <w:color w:val="000000"/>
        </w:rPr>
      </w:pPr>
      <w:r>
        <w:rPr>
          <w:color w:val="000000"/>
        </w:rPr>
        <w:t>1× otočný držák tabletu (kompatibilní s rozměry: šířka 57–92 mm, výška 132–170 mm, hloubka max. 19 mm)</w:t>
      </w:r>
    </w:p>
    <w:p w14:paraId="679C138E" w14:textId="77777777" w:rsid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Pick-to-</w:t>
      </w:r>
      <w:proofErr w:type="spellStart"/>
      <w:r>
        <w:rPr>
          <w:rStyle w:val="Siln"/>
          <w:rFonts w:eastAsiaTheme="majorEastAsia"/>
          <w:color w:val="000000"/>
        </w:rPr>
        <w:t>Light</w:t>
      </w:r>
      <w:proofErr w:type="spellEnd"/>
      <w:r>
        <w:rPr>
          <w:rStyle w:val="Siln"/>
          <w:rFonts w:eastAsiaTheme="majorEastAsia"/>
          <w:color w:val="000000"/>
        </w:rPr>
        <w:t xml:space="preserve"> výbava:</w:t>
      </w:r>
    </w:p>
    <w:p w14:paraId="69A717DC" w14:textId="07650872" w:rsidR="00A77932" w:rsidRDefault="00A77932" w:rsidP="00A77932">
      <w:pPr>
        <w:pStyle w:val="Normlnweb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10× lišta P2L (oboustranné osazení na každé patro)</w:t>
      </w:r>
    </w:p>
    <w:p w14:paraId="4A4B34A1" w14:textId="77777777" w:rsidR="00A77932" w:rsidRDefault="00A77932" w:rsidP="00A77932">
      <w:pPr>
        <w:pStyle w:val="Normlnweb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1× optický maják (pro signalizaci aktivního vozíku)</w:t>
      </w:r>
    </w:p>
    <w:p w14:paraId="422ED8EF" w14:textId="77777777" w:rsidR="00A77932" w:rsidRDefault="00A77932" w:rsidP="00A77932">
      <w:pPr>
        <w:pStyle w:val="Normlnweb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 xml:space="preserve">1× řídicí jednotka s akumulátorem min. 4 </w:t>
      </w:r>
      <w:proofErr w:type="spellStart"/>
      <w:r>
        <w:rPr>
          <w:color w:val="000000"/>
        </w:rPr>
        <w:t>Ah</w:t>
      </w:r>
      <w:proofErr w:type="spellEnd"/>
    </w:p>
    <w:p w14:paraId="1A451780" w14:textId="77777777" w:rsidR="00A77932" w:rsidRDefault="00A77932" w:rsidP="00A77932">
      <w:pPr>
        <w:pStyle w:val="Normlnweb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 xml:space="preserve">1× náhradní akumulátor min. 4 </w:t>
      </w:r>
      <w:proofErr w:type="spellStart"/>
      <w:r>
        <w:rPr>
          <w:color w:val="000000"/>
        </w:rPr>
        <w:t>Ah</w:t>
      </w:r>
      <w:proofErr w:type="spellEnd"/>
    </w:p>
    <w:p w14:paraId="67A358B2" w14:textId="77777777" w:rsidR="00A77932" w:rsidRDefault="00A77932" w:rsidP="00A77932">
      <w:pPr>
        <w:pStyle w:val="Normlnweb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1× kompatibilní nabíječka</w:t>
      </w:r>
    </w:p>
    <w:p w14:paraId="008EA4A5" w14:textId="77777777" w:rsidR="00A77932" w:rsidRDefault="00A77932" w:rsidP="00A77932">
      <w:pPr>
        <w:pStyle w:val="Normlnweb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Značení pozic (štítky)</w:t>
      </w:r>
    </w:p>
    <w:p w14:paraId="7B4F0AB4" w14:textId="77777777" w:rsidR="00A77932" w:rsidRDefault="00A77932" w:rsidP="00A77932">
      <w:pPr>
        <w:pStyle w:val="Normlnweb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Kompletní kabeláž a montážní sada</w:t>
      </w:r>
    </w:p>
    <w:p w14:paraId="225AA783" w14:textId="77777777" w:rsid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Konektivita a integrace:</w:t>
      </w:r>
    </w:p>
    <w:p w14:paraId="0AD8FEDF" w14:textId="77777777" w:rsidR="00A77932" w:rsidRDefault="00A77932" w:rsidP="00A77932">
      <w:pPr>
        <w:pStyle w:val="Normln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Wi-Fi modul (min. standard 802.11n)</w:t>
      </w:r>
    </w:p>
    <w:p w14:paraId="41B65FEB" w14:textId="77777777" w:rsidR="00A77932" w:rsidRDefault="00A77932" w:rsidP="00A77932">
      <w:pPr>
        <w:pStyle w:val="Normlnweb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Možnost připojení k WMS systému zadavatele prostřednictvím otevřeného API rozhraní (REST/JSON/XML)</w:t>
      </w:r>
    </w:p>
    <w:p w14:paraId="5E4A72CC" w14:textId="71521A81" w:rsidR="00866567" w:rsidRDefault="00866567" w:rsidP="00345331">
      <w:pPr>
        <w:pStyle w:val="Normlnweb"/>
        <w:ind w:left="360"/>
        <w:rPr>
          <w:color w:val="000000"/>
        </w:rPr>
      </w:pPr>
    </w:p>
    <w:p w14:paraId="0C8A88F9" w14:textId="77777777" w:rsid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Software pro P2L:</w:t>
      </w:r>
    </w:p>
    <w:p w14:paraId="39B580B0" w14:textId="77777777" w:rsidR="00A77932" w:rsidRDefault="00A77932" w:rsidP="00A77932">
      <w:pPr>
        <w:pStyle w:val="Normlnweb"/>
        <w:numPr>
          <w:ilvl w:val="0"/>
          <w:numId w:val="30"/>
        </w:numPr>
        <w:rPr>
          <w:color w:val="000000"/>
        </w:rPr>
      </w:pPr>
      <w:r>
        <w:rPr>
          <w:color w:val="000000"/>
        </w:rPr>
        <w:t>Dodavatel dodá vlastní aplikační řešení s těmito vlastnostmi:</w:t>
      </w:r>
    </w:p>
    <w:p w14:paraId="0316BDAD" w14:textId="77777777" w:rsidR="00A77932" w:rsidRDefault="00A77932" w:rsidP="00A77932">
      <w:pPr>
        <w:pStyle w:val="Normlnweb"/>
        <w:numPr>
          <w:ilvl w:val="1"/>
          <w:numId w:val="30"/>
        </w:numPr>
        <w:rPr>
          <w:color w:val="000000"/>
        </w:rPr>
      </w:pPr>
      <w:r>
        <w:rPr>
          <w:color w:val="000000"/>
        </w:rPr>
        <w:t>konfigurace pozic a jejich správa</w:t>
      </w:r>
    </w:p>
    <w:p w14:paraId="1A77523E" w14:textId="77777777" w:rsidR="00A77932" w:rsidRDefault="00A77932" w:rsidP="00A77932">
      <w:pPr>
        <w:pStyle w:val="Normlnweb"/>
        <w:numPr>
          <w:ilvl w:val="1"/>
          <w:numId w:val="30"/>
        </w:numPr>
        <w:rPr>
          <w:color w:val="000000"/>
        </w:rPr>
      </w:pPr>
      <w:proofErr w:type="spellStart"/>
      <w:r>
        <w:rPr>
          <w:color w:val="000000"/>
        </w:rPr>
        <w:t>workflow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multipickingu</w:t>
      </w:r>
      <w:proofErr w:type="spellEnd"/>
      <w:r>
        <w:rPr>
          <w:color w:val="000000"/>
        </w:rPr>
        <w:t xml:space="preserve"> vč. barevného kódování dle počtu kusů</w:t>
      </w:r>
    </w:p>
    <w:p w14:paraId="6E9AD76F" w14:textId="77777777" w:rsidR="00A77932" w:rsidRDefault="00A77932" w:rsidP="00A77932">
      <w:pPr>
        <w:pStyle w:val="Normlnweb"/>
        <w:numPr>
          <w:ilvl w:val="1"/>
          <w:numId w:val="30"/>
        </w:numPr>
        <w:rPr>
          <w:color w:val="000000"/>
        </w:rPr>
      </w:pPr>
      <w:r>
        <w:rPr>
          <w:color w:val="000000"/>
        </w:rPr>
        <w:t>přiřazování zakázek a pozic</w:t>
      </w:r>
    </w:p>
    <w:p w14:paraId="4547B609" w14:textId="77777777" w:rsidR="00A77932" w:rsidRDefault="00A77932" w:rsidP="00A77932">
      <w:pPr>
        <w:pStyle w:val="Normlnweb"/>
        <w:numPr>
          <w:ilvl w:val="1"/>
          <w:numId w:val="30"/>
        </w:numPr>
        <w:rPr>
          <w:color w:val="000000"/>
        </w:rPr>
      </w:pPr>
      <w:r>
        <w:rPr>
          <w:color w:val="000000"/>
        </w:rPr>
        <w:t>funkce vzdálené správy a aktualizace</w:t>
      </w:r>
    </w:p>
    <w:p w14:paraId="6B1F42B8" w14:textId="77777777" w:rsidR="00A77932" w:rsidRDefault="00A77932" w:rsidP="00A77932">
      <w:pPr>
        <w:pStyle w:val="Normlnweb"/>
        <w:numPr>
          <w:ilvl w:val="1"/>
          <w:numId w:val="30"/>
        </w:numPr>
        <w:rPr>
          <w:color w:val="000000"/>
        </w:rPr>
      </w:pPr>
      <w:r>
        <w:rPr>
          <w:color w:val="000000"/>
        </w:rPr>
        <w:t>časově neomezená licence</w:t>
      </w:r>
    </w:p>
    <w:p w14:paraId="294F89AD" w14:textId="77777777" w:rsidR="00A77932" w:rsidRDefault="00A77932" w:rsidP="00A77932">
      <w:pPr>
        <w:pStyle w:val="Normlnweb"/>
        <w:numPr>
          <w:ilvl w:val="1"/>
          <w:numId w:val="30"/>
        </w:numPr>
        <w:rPr>
          <w:color w:val="000000"/>
        </w:rPr>
      </w:pPr>
      <w:r>
        <w:rPr>
          <w:color w:val="000000"/>
        </w:rPr>
        <w:t>podpora Po–Pá, 8:00–16:00</w:t>
      </w:r>
    </w:p>
    <w:p w14:paraId="6B617CD9" w14:textId="77777777" w:rsidR="00A77932" w:rsidRDefault="00AD7F3D" w:rsidP="00A77932">
      <w:r>
        <w:rPr>
          <w:noProof/>
          <w14:ligatures w14:val="standardContextual"/>
        </w:rPr>
        <w:pict w14:anchorId="489DAAB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5FF8A38" w14:textId="77777777" w:rsidR="00A77932" w:rsidRPr="0023635D" w:rsidRDefault="00A77932" w:rsidP="0023635D">
      <w:pPr>
        <w:pStyle w:val="Nadpis3"/>
      </w:pPr>
      <w:bookmarkStart w:id="5" w:name="_Toc201224458"/>
      <w:r w:rsidRPr="0023635D">
        <w:lastRenderedPageBreak/>
        <w:t>3.2 Bezdrátový snímač čárových kódů</w:t>
      </w:r>
      <w:bookmarkEnd w:id="5"/>
    </w:p>
    <w:p w14:paraId="076643B7" w14:textId="77777777" w:rsid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Způsob použití:</w:t>
      </w:r>
    </w:p>
    <w:p w14:paraId="79406DE3" w14:textId="77777777" w:rsidR="00A77932" w:rsidRDefault="00A77932" w:rsidP="00A77932">
      <w:pPr>
        <w:pStyle w:val="Normln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Nositelný systém – umístění na zápěstí/ruce</w:t>
      </w:r>
    </w:p>
    <w:p w14:paraId="37C49653" w14:textId="77777777" w:rsidR="00A77932" w:rsidRDefault="00A77932" w:rsidP="00A77932">
      <w:pPr>
        <w:pStyle w:val="Normln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Umožňuje obsluze obě ruce volné</w:t>
      </w:r>
    </w:p>
    <w:p w14:paraId="0BC7C78C" w14:textId="77777777" w:rsidR="00A77932" w:rsidRDefault="00A77932" w:rsidP="00A77932">
      <w:pPr>
        <w:pStyle w:val="Normln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Bez integrovaného displeje</w:t>
      </w:r>
    </w:p>
    <w:p w14:paraId="0A3EEDBA" w14:textId="77777777" w:rsid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Technické specifikace:</w:t>
      </w:r>
    </w:p>
    <w:p w14:paraId="2B329DF6" w14:textId="77777777" w:rsidR="00A77932" w:rsidRDefault="00A77932" w:rsidP="00A77932">
      <w:pPr>
        <w:pStyle w:val="Normlnweb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 xml:space="preserve">Snímání: 1D i </w:t>
      </w:r>
      <w:proofErr w:type="gramStart"/>
      <w:r>
        <w:rPr>
          <w:color w:val="000000"/>
        </w:rPr>
        <w:t>2D</w:t>
      </w:r>
      <w:proofErr w:type="gramEnd"/>
      <w:r>
        <w:rPr>
          <w:color w:val="000000"/>
        </w:rPr>
        <w:t xml:space="preserve"> čárové kódy</w:t>
      </w:r>
    </w:p>
    <w:p w14:paraId="4FE2B258" w14:textId="77777777" w:rsidR="00A77932" w:rsidRDefault="00A77932" w:rsidP="00A77932">
      <w:pPr>
        <w:pStyle w:val="Normlnweb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Dosah čtení: 10–250 cm</w:t>
      </w:r>
    </w:p>
    <w:p w14:paraId="46E0BADA" w14:textId="77777777" w:rsidR="00A77932" w:rsidRDefault="00A77932" w:rsidP="00A77932">
      <w:pPr>
        <w:pStyle w:val="Normlnweb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 xml:space="preserve">Komunikace: Bluetooth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Energy</w:t>
      </w:r>
      <w:proofErr w:type="spellEnd"/>
    </w:p>
    <w:p w14:paraId="366D11B7" w14:textId="77777777" w:rsidR="00A77932" w:rsidRDefault="00A77932" w:rsidP="00A77932">
      <w:pPr>
        <w:pStyle w:val="Normlnweb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Baterie: min. 8 000 skenů na jedno nabití</w:t>
      </w:r>
    </w:p>
    <w:p w14:paraId="114D6F20" w14:textId="77777777" w:rsidR="00A77932" w:rsidRDefault="00A77932" w:rsidP="00A77932">
      <w:pPr>
        <w:pStyle w:val="Normlnweb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Hmotnost: max. 39 g</w:t>
      </w:r>
    </w:p>
    <w:p w14:paraId="62ACE9B4" w14:textId="77777777" w:rsidR="00A77932" w:rsidRDefault="00A77932" w:rsidP="00A77932">
      <w:pPr>
        <w:pStyle w:val="Normlnweb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Součástí:</w:t>
      </w:r>
    </w:p>
    <w:p w14:paraId="1E8E7862" w14:textId="77777777" w:rsidR="00A77932" w:rsidRDefault="00A77932" w:rsidP="00A77932">
      <w:pPr>
        <w:pStyle w:val="Normlnweb"/>
        <w:numPr>
          <w:ilvl w:val="1"/>
          <w:numId w:val="32"/>
        </w:numPr>
        <w:rPr>
          <w:color w:val="000000"/>
        </w:rPr>
      </w:pPr>
      <w:r>
        <w:rPr>
          <w:color w:val="000000"/>
        </w:rPr>
        <w:t>nabíjecí stanice</w:t>
      </w:r>
    </w:p>
    <w:p w14:paraId="5AAD00D8" w14:textId="77777777" w:rsidR="00A77932" w:rsidRDefault="00A77932" w:rsidP="00A77932">
      <w:pPr>
        <w:pStyle w:val="Normlnweb"/>
        <w:numPr>
          <w:ilvl w:val="1"/>
          <w:numId w:val="32"/>
        </w:numPr>
        <w:rPr>
          <w:color w:val="000000"/>
        </w:rPr>
      </w:pPr>
      <w:r>
        <w:rPr>
          <w:color w:val="000000"/>
        </w:rPr>
        <w:t>uchycení na ruku</w:t>
      </w:r>
    </w:p>
    <w:p w14:paraId="3A0655FB" w14:textId="77777777" w:rsid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Servisní a softwarové zajištění:</w:t>
      </w:r>
    </w:p>
    <w:p w14:paraId="201D4D29" w14:textId="77777777" w:rsidR="00A77932" w:rsidRDefault="00A77932" w:rsidP="00A77932">
      <w:pPr>
        <w:pStyle w:val="Normlnweb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Servisní pokrytí na 36 měsíců, zahrnující:</w:t>
      </w:r>
    </w:p>
    <w:p w14:paraId="1F25E29B" w14:textId="77777777" w:rsidR="00A77932" w:rsidRDefault="00A77932" w:rsidP="00A77932">
      <w:pPr>
        <w:pStyle w:val="Normlnweb"/>
        <w:numPr>
          <w:ilvl w:val="1"/>
          <w:numId w:val="33"/>
        </w:numPr>
        <w:rPr>
          <w:color w:val="000000"/>
        </w:rPr>
      </w:pPr>
      <w:r>
        <w:rPr>
          <w:color w:val="000000"/>
        </w:rPr>
        <w:t>výměnu zařízení do 1 pracovního dne</w:t>
      </w:r>
    </w:p>
    <w:p w14:paraId="0B731D71" w14:textId="77777777" w:rsidR="00A77932" w:rsidRDefault="00A77932" w:rsidP="00A77932">
      <w:pPr>
        <w:pStyle w:val="Normlnweb"/>
        <w:numPr>
          <w:ilvl w:val="1"/>
          <w:numId w:val="33"/>
        </w:numPr>
        <w:rPr>
          <w:color w:val="000000"/>
        </w:rPr>
      </w:pPr>
      <w:r>
        <w:rPr>
          <w:color w:val="000000"/>
        </w:rPr>
        <w:t>záruku na baterii</w:t>
      </w:r>
    </w:p>
    <w:p w14:paraId="5A3D3651" w14:textId="77777777" w:rsidR="00A77932" w:rsidRDefault="00A77932" w:rsidP="00A77932">
      <w:pPr>
        <w:pStyle w:val="Normlnweb"/>
        <w:numPr>
          <w:ilvl w:val="1"/>
          <w:numId w:val="33"/>
        </w:numPr>
        <w:rPr>
          <w:color w:val="000000"/>
        </w:rPr>
      </w:pPr>
      <w:r>
        <w:rPr>
          <w:color w:val="000000"/>
        </w:rPr>
        <w:t>pokrytí opravy a výměny nabíjecích zařízení</w:t>
      </w:r>
    </w:p>
    <w:p w14:paraId="79599917" w14:textId="77777777" w:rsidR="00A77932" w:rsidRDefault="00A77932" w:rsidP="00A77932">
      <w:pPr>
        <w:pStyle w:val="Normlnweb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Předpoklad rozšiřitelnosti o:</w:t>
      </w:r>
    </w:p>
    <w:p w14:paraId="7D52F51F" w14:textId="77777777" w:rsidR="00A77932" w:rsidRDefault="00A77932" w:rsidP="00A77932">
      <w:pPr>
        <w:pStyle w:val="Normlnweb"/>
        <w:numPr>
          <w:ilvl w:val="1"/>
          <w:numId w:val="33"/>
        </w:numPr>
        <w:rPr>
          <w:color w:val="000000"/>
        </w:rPr>
      </w:pPr>
      <w:r>
        <w:rPr>
          <w:color w:val="000000"/>
        </w:rPr>
        <w:t>monitoring a reporting výkonu</w:t>
      </w:r>
    </w:p>
    <w:p w14:paraId="7292AA82" w14:textId="77777777" w:rsidR="00A77932" w:rsidRDefault="00A77932" w:rsidP="00A77932">
      <w:pPr>
        <w:pStyle w:val="Normlnweb"/>
        <w:numPr>
          <w:ilvl w:val="1"/>
          <w:numId w:val="33"/>
        </w:numPr>
        <w:rPr>
          <w:color w:val="000000"/>
        </w:rPr>
      </w:pPr>
      <w:proofErr w:type="spellStart"/>
      <w:r>
        <w:rPr>
          <w:color w:val="000000"/>
        </w:rPr>
        <w:t>heatmapy</w:t>
      </w:r>
      <w:proofErr w:type="spellEnd"/>
      <w:r>
        <w:rPr>
          <w:color w:val="000000"/>
        </w:rPr>
        <w:t xml:space="preserve"> a lokalizační funkce</w:t>
      </w:r>
    </w:p>
    <w:p w14:paraId="7FA42DFD" w14:textId="77777777" w:rsidR="00A77932" w:rsidRDefault="00A77932" w:rsidP="00A77932">
      <w:pPr>
        <w:pStyle w:val="Normlnweb"/>
        <w:numPr>
          <w:ilvl w:val="1"/>
          <w:numId w:val="33"/>
        </w:numPr>
        <w:rPr>
          <w:color w:val="000000"/>
        </w:rPr>
      </w:pPr>
      <w:r>
        <w:rPr>
          <w:color w:val="000000"/>
        </w:rPr>
        <w:t>vzdálené aktualizace firmware</w:t>
      </w:r>
    </w:p>
    <w:p w14:paraId="58855159" w14:textId="77777777" w:rsid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Kompatibilita:</w:t>
      </w:r>
    </w:p>
    <w:p w14:paraId="0D8EA8B7" w14:textId="77777777" w:rsidR="00A77932" w:rsidRDefault="00A77932" w:rsidP="00A77932">
      <w:pPr>
        <w:pStyle w:val="Normlnweb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Musí být plně kompatibilní s dodaným P2L systémem a softwarem</w:t>
      </w:r>
    </w:p>
    <w:p w14:paraId="719AFCDF" w14:textId="078C3FF2" w:rsidR="00D5427C" w:rsidRPr="009112AE" w:rsidRDefault="00A77932" w:rsidP="009112AE">
      <w:pPr>
        <w:pStyle w:val="Normlnweb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 xml:space="preserve">Funkce: validace pozic, potvrzení výběru, aktivace </w:t>
      </w:r>
      <w:proofErr w:type="spellStart"/>
      <w:r>
        <w:rPr>
          <w:color w:val="000000"/>
        </w:rPr>
        <w:t>workflow</w:t>
      </w:r>
      <w:bookmarkStart w:id="6" w:name="_Toc201224459"/>
      <w:proofErr w:type="spellEnd"/>
    </w:p>
    <w:p w14:paraId="1BECECB0" w14:textId="59962F21" w:rsidR="00A77932" w:rsidRPr="0023635D" w:rsidRDefault="00A77932" w:rsidP="0023635D">
      <w:pPr>
        <w:pStyle w:val="Nadpis2"/>
      </w:pPr>
      <w:r w:rsidRPr="0023635D">
        <w:t>4. Podmínky realizace</w:t>
      </w:r>
      <w:bookmarkEnd w:id="6"/>
    </w:p>
    <w:p w14:paraId="6B40E271" w14:textId="77777777" w:rsidR="00A77932" w:rsidRDefault="00A77932" w:rsidP="00A77932">
      <w:pPr>
        <w:pStyle w:val="Normlnweb"/>
        <w:rPr>
          <w:color w:val="000000"/>
        </w:rPr>
      </w:pPr>
      <w:bookmarkStart w:id="7" w:name="_Toc201224460"/>
      <w:r w:rsidRPr="0023635D">
        <w:rPr>
          <w:rStyle w:val="Nadpis3Char"/>
        </w:rPr>
        <w:t>Místo plnění:</w:t>
      </w:r>
      <w:bookmarkEnd w:id="7"/>
      <w:r w:rsidRPr="0023635D">
        <w:rPr>
          <w:rStyle w:val="Nadpis3Char"/>
        </w:rPr>
        <w:br/>
      </w:r>
      <w:r>
        <w:rPr>
          <w:color w:val="000000"/>
        </w:rPr>
        <w:t>Růžový slon – sklad, U Nádraží 1204/</w:t>
      </w:r>
      <w:proofErr w:type="gramStart"/>
      <w:r>
        <w:rPr>
          <w:color w:val="000000"/>
        </w:rPr>
        <w:t>2a</w:t>
      </w:r>
      <w:proofErr w:type="gramEnd"/>
      <w:r>
        <w:rPr>
          <w:color w:val="000000"/>
        </w:rPr>
        <w:t>, 736 01 Havířov-</w:t>
      </w:r>
      <w:proofErr w:type="spellStart"/>
      <w:r>
        <w:rPr>
          <w:color w:val="000000"/>
        </w:rPr>
        <w:t>Šumbark</w:t>
      </w:r>
      <w:proofErr w:type="spellEnd"/>
      <w:r>
        <w:rPr>
          <w:color w:val="000000"/>
        </w:rPr>
        <w:t>, ČR</w:t>
      </w:r>
    </w:p>
    <w:p w14:paraId="333C0655" w14:textId="77777777" w:rsidR="00A77932" w:rsidRPr="0023635D" w:rsidRDefault="00A77932" w:rsidP="0023635D">
      <w:pPr>
        <w:pStyle w:val="Nadpis3"/>
      </w:pPr>
      <w:bookmarkStart w:id="8" w:name="_Toc201224461"/>
      <w:r w:rsidRPr="0023635D">
        <w:rPr>
          <w:rStyle w:val="Siln"/>
          <w:b/>
          <w:bCs w:val="0"/>
        </w:rPr>
        <w:t>Rozsah plnění:</w:t>
      </w:r>
      <w:bookmarkEnd w:id="8"/>
    </w:p>
    <w:p w14:paraId="36AD80B9" w14:textId="77777777" w:rsidR="00525B26" w:rsidRPr="00525B26" w:rsidRDefault="00525B26" w:rsidP="00525B26">
      <w:pPr>
        <w:pStyle w:val="Odstavecseseznamem"/>
        <w:numPr>
          <w:ilvl w:val="0"/>
          <w:numId w:val="40"/>
        </w:numPr>
        <w:rPr>
          <w:color w:val="000000"/>
        </w:rPr>
      </w:pPr>
      <w:bookmarkStart w:id="9" w:name="_Toc201224462"/>
      <w:r w:rsidRPr="00525B26">
        <w:rPr>
          <w:b/>
          <w:bCs/>
          <w:color w:val="000000"/>
        </w:rPr>
        <w:t xml:space="preserve">Kompletní </w:t>
      </w:r>
      <w:proofErr w:type="spellStart"/>
      <w:r w:rsidRPr="00525B26">
        <w:rPr>
          <w:b/>
          <w:bCs/>
          <w:color w:val="000000"/>
        </w:rPr>
        <w:t>pickovací</w:t>
      </w:r>
      <w:proofErr w:type="spellEnd"/>
      <w:r w:rsidRPr="00525B26">
        <w:rPr>
          <w:b/>
          <w:bCs/>
          <w:color w:val="000000"/>
        </w:rPr>
        <w:t xml:space="preserve"> vozík s P2L</w:t>
      </w:r>
      <w:r w:rsidRPr="00525B26">
        <w:rPr>
          <w:color w:val="000000"/>
        </w:rPr>
        <w:t xml:space="preserve"> – dodávka plně funkčního vychystávacího vozíku včetně všech komponent (P2L lišty, majáky, řídicí jednotka, baterie, nabíječka), připraveného k okamžitému provozu.</w:t>
      </w:r>
    </w:p>
    <w:p w14:paraId="39300F13" w14:textId="77777777" w:rsidR="00525B26" w:rsidRPr="00525B26" w:rsidRDefault="00525B26" w:rsidP="00525B26">
      <w:pPr>
        <w:pStyle w:val="Odstavecseseznamem"/>
        <w:numPr>
          <w:ilvl w:val="0"/>
          <w:numId w:val="40"/>
        </w:numPr>
        <w:rPr>
          <w:color w:val="000000"/>
        </w:rPr>
      </w:pPr>
      <w:r w:rsidRPr="00525B26">
        <w:rPr>
          <w:b/>
          <w:bCs/>
          <w:color w:val="000000"/>
        </w:rPr>
        <w:lastRenderedPageBreak/>
        <w:t>Bezdrátový skener vč. příslušenství</w:t>
      </w:r>
      <w:r w:rsidRPr="00525B26">
        <w:rPr>
          <w:color w:val="000000"/>
        </w:rPr>
        <w:t xml:space="preserve"> – dodávka skenovacího zařízení na ruku, včetně nabíjecí stanice a příslušenství, plně kompatibilního s P2L řešením.</w:t>
      </w:r>
    </w:p>
    <w:p w14:paraId="03BF2BE4" w14:textId="77777777" w:rsidR="00525B26" w:rsidRPr="00525B26" w:rsidRDefault="00525B26" w:rsidP="00525B26">
      <w:pPr>
        <w:pStyle w:val="Odstavecseseznamem"/>
        <w:numPr>
          <w:ilvl w:val="0"/>
          <w:numId w:val="40"/>
        </w:numPr>
        <w:rPr>
          <w:color w:val="000000"/>
        </w:rPr>
      </w:pPr>
      <w:r w:rsidRPr="00525B26">
        <w:rPr>
          <w:b/>
          <w:bCs/>
          <w:color w:val="000000"/>
        </w:rPr>
        <w:t xml:space="preserve">Instalace a zprovoznění </w:t>
      </w:r>
      <w:r w:rsidRPr="00525B26">
        <w:rPr>
          <w:color w:val="000000"/>
        </w:rPr>
        <w:t>– montáž, konfigurace a uvedení do provozu přímo v místě plnění, včetně odzkoušení funkčnosti celého systému.</w:t>
      </w:r>
    </w:p>
    <w:p w14:paraId="58037117" w14:textId="77777777" w:rsidR="00525B26" w:rsidRPr="00525B26" w:rsidRDefault="00525B26" w:rsidP="00525B26">
      <w:pPr>
        <w:pStyle w:val="Odstavecseseznamem"/>
        <w:numPr>
          <w:ilvl w:val="0"/>
          <w:numId w:val="40"/>
        </w:numPr>
        <w:rPr>
          <w:color w:val="000000"/>
        </w:rPr>
      </w:pPr>
      <w:r w:rsidRPr="00525B26">
        <w:rPr>
          <w:b/>
          <w:bCs/>
          <w:color w:val="000000"/>
        </w:rPr>
        <w:t>Napojení na WMS nebo jiné systémy</w:t>
      </w:r>
      <w:r w:rsidRPr="00525B26">
        <w:rPr>
          <w:color w:val="000000"/>
        </w:rPr>
        <w:t xml:space="preserve"> – integrace dodaného řešení prostřednictvím API na stávající WMS zadavatele a ERP systém; ověření přenosu dat a funkční komunikace.</w:t>
      </w:r>
    </w:p>
    <w:p w14:paraId="17166017" w14:textId="48BF70DE" w:rsidR="00525B26" w:rsidRPr="00525B26" w:rsidRDefault="00525B26" w:rsidP="00525B26">
      <w:pPr>
        <w:pStyle w:val="Odstavecseseznamem"/>
        <w:numPr>
          <w:ilvl w:val="0"/>
          <w:numId w:val="40"/>
        </w:numPr>
        <w:rPr>
          <w:color w:val="000000"/>
        </w:rPr>
      </w:pPr>
      <w:r w:rsidRPr="00525B26">
        <w:rPr>
          <w:b/>
          <w:bCs/>
          <w:color w:val="000000"/>
        </w:rPr>
        <w:t>Zaškolení obsluhy</w:t>
      </w:r>
      <w:r w:rsidRPr="00525B26">
        <w:rPr>
          <w:color w:val="000000"/>
        </w:rPr>
        <w:t xml:space="preserve"> – praktické zaškolení pracovníků skladu pro práci s P2L a skenerem, včetně základní administrace</w:t>
      </w:r>
      <w:r>
        <w:rPr>
          <w:color w:val="000000"/>
        </w:rPr>
        <w:t xml:space="preserve"> a návodů pro každý proces</w:t>
      </w:r>
      <w:r w:rsidRPr="00525B26">
        <w:rPr>
          <w:color w:val="000000"/>
        </w:rPr>
        <w:t>.</w:t>
      </w:r>
    </w:p>
    <w:p w14:paraId="507118F0" w14:textId="77777777" w:rsidR="00525B26" w:rsidRPr="00525B26" w:rsidRDefault="00525B26" w:rsidP="00525B26">
      <w:pPr>
        <w:pStyle w:val="Odstavecseseznamem"/>
        <w:numPr>
          <w:ilvl w:val="0"/>
          <w:numId w:val="40"/>
        </w:numPr>
        <w:rPr>
          <w:color w:val="000000"/>
        </w:rPr>
      </w:pPr>
      <w:r w:rsidRPr="00525B26">
        <w:rPr>
          <w:b/>
          <w:bCs/>
          <w:color w:val="000000"/>
        </w:rPr>
        <w:t>Implementace na současné technologické řešení zadavatele</w:t>
      </w:r>
      <w:r w:rsidRPr="00525B26">
        <w:rPr>
          <w:color w:val="000000"/>
        </w:rPr>
        <w:t xml:space="preserve"> – zajištění kompatibility dodaného řešení s aktuální IT infrastrukturou zadavatele; dodavatel provede ověření a přizpůsobení konfigurace.</w:t>
      </w:r>
    </w:p>
    <w:p w14:paraId="1DD68D13" w14:textId="77777777" w:rsidR="00525B26" w:rsidRPr="00525B26" w:rsidRDefault="00525B26" w:rsidP="00525B26">
      <w:pPr>
        <w:pStyle w:val="Odstavecseseznamem"/>
        <w:numPr>
          <w:ilvl w:val="0"/>
          <w:numId w:val="40"/>
        </w:numPr>
        <w:rPr>
          <w:color w:val="000000"/>
        </w:rPr>
      </w:pPr>
      <w:r w:rsidRPr="00525B26">
        <w:rPr>
          <w:b/>
          <w:bCs/>
          <w:color w:val="000000"/>
        </w:rPr>
        <w:t>Sestavení reportu na míru dle zadání zadavatele</w:t>
      </w:r>
      <w:r w:rsidRPr="00525B26">
        <w:rPr>
          <w:color w:val="000000"/>
        </w:rPr>
        <w:t xml:space="preserve"> – dodavatel vytvoří výstupní reporty podle požadavků zadavatele (datové zdroje, periodicita, forma zobrazení), které budou integrovány do dodaného softwarového řešení.</w:t>
      </w:r>
    </w:p>
    <w:p w14:paraId="18C72172" w14:textId="54B25A1C" w:rsidR="00D5427C" w:rsidRPr="00D5427C" w:rsidRDefault="00525B26" w:rsidP="00525B26">
      <w:pPr>
        <w:pStyle w:val="Odstavecseseznamem"/>
        <w:numPr>
          <w:ilvl w:val="0"/>
          <w:numId w:val="40"/>
        </w:numPr>
      </w:pPr>
      <w:r w:rsidRPr="00525B26">
        <w:rPr>
          <w:b/>
          <w:bCs/>
          <w:color w:val="000000"/>
        </w:rPr>
        <w:t>Měsíční kapacita na úpravy dle zadání zadavatele</w:t>
      </w:r>
      <w:r w:rsidRPr="00525B26">
        <w:rPr>
          <w:color w:val="000000"/>
        </w:rPr>
        <w:t xml:space="preserve"> – dodavatel vyhradí kapacitu min. </w:t>
      </w:r>
      <w:r>
        <w:rPr>
          <w:color w:val="000000"/>
        </w:rPr>
        <w:t>16</w:t>
      </w:r>
      <w:r w:rsidRPr="00525B26">
        <w:rPr>
          <w:color w:val="000000"/>
        </w:rPr>
        <w:t xml:space="preserve"> člověkohodin měsíčně na menší úpravy a modifikace (</w:t>
      </w:r>
      <w:proofErr w:type="spellStart"/>
      <w:r w:rsidRPr="00525B26">
        <w:rPr>
          <w:color w:val="000000"/>
        </w:rPr>
        <w:t>workflow</w:t>
      </w:r>
      <w:proofErr w:type="spellEnd"/>
      <w:r w:rsidRPr="00525B26">
        <w:rPr>
          <w:color w:val="000000"/>
        </w:rPr>
        <w:t>, reporty, parametry P2L); využití bude specifikováno zadavatelem předem.</w:t>
      </w:r>
    </w:p>
    <w:p w14:paraId="1D53D615" w14:textId="77777777" w:rsidR="00A77932" w:rsidRPr="0023635D" w:rsidRDefault="00A77932" w:rsidP="0023635D">
      <w:pPr>
        <w:pStyle w:val="Nadpis3"/>
      </w:pPr>
      <w:bookmarkStart w:id="10" w:name="_Toc201224463"/>
      <w:bookmarkEnd w:id="9"/>
      <w:r w:rsidRPr="0023635D">
        <w:rPr>
          <w:rStyle w:val="Siln"/>
          <w:b/>
          <w:bCs w:val="0"/>
        </w:rPr>
        <w:t>Předání:</w:t>
      </w:r>
      <w:bookmarkEnd w:id="10"/>
    </w:p>
    <w:p w14:paraId="607211A0" w14:textId="4C51E186" w:rsidR="00A77932" w:rsidRPr="0023635D" w:rsidRDefault="00A77932" w:rsidP="00A77932">
      <w:pPr>
        <w:pStyle w:val="Normlnweb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>Předávací protokol včetně funkčního ověření a provozního testu</w:t>
      </w:r>
    </w:p>
    <w:p w14:paraId="131B0C48" w14:textId="77777777" w:rsidR="00A77932" w:rsidRPr="0023635D" w:rsidRDefault="00A77932" w:rsidP="0023635D">
      <w:pPr>
        <w:pStyle w:val="Nadpis2"/>
      </w:pPr>
      <w:bookmarkStart w:id="11" w:name="_Toc201224464"/>
      <w:r w:rsidRPr="0023635D">
        <w:t>5. Závěrečná ustanovení</w:t>
      </w:r>
      <w:bookmarkEnd w:id="11"/>
    </w:p>
    <w:p w14:paraId="0FB2E1E1" w14:textId="77777777" w:rsidR="00A77932" w:rsidRDefault="00A77932" w:rsidP="00A77932">
      <w:pPr>
        <w:pStyle w:val="Normlnweb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Všechna zařízení musí být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iln"/>
          <w:rFonts w:eastAsiaTheme="majorEastAsia"/>
          <w:color w:val="000000"/>
        </w:rPr>
        <w:t>zcela nová</w:t>
      </w:r>
    </w:p>
    <w:p w14:paraId="5C901F4C" w14:textId="77777777" w:rsidR="00A77932" w:rsidRDefault="00A77932" w:rsidP="00A77932">
      <w:pPr>
        <w:pStyle w:val="Normlnweb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Dodávka zahrnuje technickou dokumentaci, návody, certifikace, záruční listy</w:t>
      </w:r>
    </w:p>
    <w:p w14:paraId="200D870B" w14:textId="77777777" w:rsidR="00A77932" w:rsidRDefault="00A77932" w:rsidP="00A77932">
      <w:pPr>
        <w:pStyle w:val="Normlnweb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Uvedené technické parametry jsou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iln"/>
          <w:rFonts w:eastAsiaTheme="majorEastAsia"/>
          <w:color w:val="000000"/>
        </w:rPr>
        <w:t>minimální a závazné</w:t>
      </w:r>
    </w:p>
    <w:p w14:paraId="7544B48B" w14:textId="6F5C5772" w:rsidR="00A77932" w:rsidRPr="0023635D" w:rsidRDefault="00A77932" w:rsidP="00A77932">
      <w:pPr>
        <w:pStyle w:val="Normlnweb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Názvy komponent slouží výhradně pro určení požadované technické úrovně. Nabízené řešení musí být rovnocenné nebo lepší.</w:t>
      </w:r>
    </w:p>
    <w:p w14:paraId="67CF27B0" w14:textId="77777777" w:rsidR="00A77932" w:rsidRDefault="00A77932" w:rsidP="00A77932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Tato technická specifikace je závaznou součástí smlouvy.</w:t>
      </w:r>
    </w:p>
    <w:p w14:paraId="4B3E1BE1" w14:textId="11B54C5F" w:rsidR="00B3551B" w:rsidRPr="007931CA" w:rsidRDefault="00B3551B" w:rsidP="00A77932">
      <w:pPr>
        <w:pStyle w:val="Normlnweb"/>
        <w:rPr>
          <w:color w:val="000000"/>
        </w:rPr>
      </w:pPr>
    </w:p>
    <w:sectPr w:rsidR="00B3551B" w:rsidRPr="007931CA" w:rsidSect="005F2674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9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F649" w14:textId="77777777" w:rsidR="008A5C17" w:rsidRDefault="008A5C17" w:rsidP="009E2394">
      <w:r>
        <w:separator/>
      </w:r>
    </w:p>
  </w:endnote>
  <w:endnote w:type="continuationSeparator" w:id="0">
    <w:p w14:paraId="6D426234" w14:textId="77777777" w:rsidR="008A5C17" w:rsidRDefault="008A5C17" w:rsidP="009E2394">
      <w:r>
        <w:continuationSeparator/>
      </w:r>
    </w:p>
  </w:endnote>
  <w:endnote w:type="continuationNotice" w:id="1">
    <w:p w14:paraId="6DD50285" w14:textId="77777777" w:rsidR="008A5C17" w:rsidRDefault="008A5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Clash Display">
    <w:altName w:val="Calibri"/>
    <w:panose1 w:val="00000000000000000000"/>
    <w:charset w:val="00"/>
    <w:family w:val="auto"/>
    <w:notTrueType/>
    <w:pitch w:val="variable"/>
    <w:sig w:usb0="8000004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sh Display Semibold">
    <w:altName w:val="Calibri"/>
    <w:panose1 w:val="00000000000000000000"/>
    <w:charset w:val="00"/>
    <w:family w:val="auto"/>
    <w:notTrueType/>
    <w:pitch w:val="variable"/>
    <w:sig w:usb0="8000004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19087974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40E8EDB" w14:textId="2B096BEB" w:rsidR="00803B9A" w:rsidRDefault="00803B9A" w:rsidP="0054553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99E96DE" w14:textId="77777777" w:rsidR="00803B9A" w:rsidRDefault="00803B9A" w:rsidP="00803B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21187081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7C8A6A7" w14:textId="6924D1BB" w:rsidR="00803B9A" w:rsidRDefault="00803B9A" w:rsidP="00D24A4C">
        <w:pPr>
          <w:pStyle w:val="Zpat"/>
          <w:framePr w:wrap="none" w:vAnchor="text" w:hAnchor="page" w:x="10891" w:y="424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8964457" w14:textId="7AB53FC0" w:rsidR="00803B9A" w:rsidRDefault="00803B9A" w:rsidP="00803B9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3373" w14:textId="77777777" w:rsidR="008A5C17" w:rsidRDefault="008A5C17" w:rsidP="009E2394">
      <w:r>
        <w:separator/>
      </w:r>
    </w:p>
  </w:footnote>
  <w:footnote w:type="continuationSeparator" w:id="0">
    <w:p w14:paraId="1ED6132A" w14:textId="77777777" w:rsidR="008A5C17" w:rsidRDefault="008A5C17" w:rsidP="009E2394">
      <w:r>
        <w:continuationSeparator/>
      </w:r>
    </w:p>
  </w:footnote>
  <w:footnote w:type="continuationNotice" w:id="1">
    <w:p w14:paraId="33889BD4" w14:textId="77777777" w:rsidR="008A5C17" w:rsidRDefault="008A5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2928" w14:textId="792E8F0A" w:rsidR="009E2394" w:rsidRDefault="009E2394" w:rsidP="009E239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3901DE" wp14:editId="0A327011">
              <wp:simplePos x="0" y="0"/>
              <wp:positionH relativeFrom="column">
                <wp:posOffset>-963170</wp:posOffset>
              </wp:positionH>
              <wp:positionV relativeFrom="paragraph">
                <wp:posOffset>266895</wp:posOffset>
              </wp:positionV>
              <wp:extent cx="7731659" cy="0"/>
              <wp:effectExtent l="0" t="38100" r="28575" b="38100"/>
              <wp:wrapNone/>
              <wp:docPr id="5561882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1659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01AF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E4A778" id="Přímá spojnice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85pt,21pt" to="532.9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" strokecolor="#01aff0" strokeweight="6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D66"/>
    <w:multiLevelType w:val="multilevel"/>
    <w:tmpl w:val="5EFA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14B6"/>
    <w:multiLevelType w:val="hybridMultilevel"/>
    <w:tmpl w:val="6AD86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0D1"/>
    <w:multiLevelType w:val="multilevel"/>
    <w:tmpl w:val="F546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550F0"/>
    <w:multiLevelType w:val="multilevel"/>
    <w:tmpl w:val="7B5E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F7072"/>
    <w:multiLevelType w:val="multilevel"/>
    <w:tmpl w:val="41DA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B75"/>
    <w:multiLevelType w:val="hybridMultilevel"/>
    <w:tmpl w:val="18027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44BF3"/>
    <w:multiLevelType w:val="multilevel"/>
    <w:tmpl w:val="BB7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A5736"/>
    <w:multiLevelType w:val="multilevel"/>
    <w:tmpl w:val="DAD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570DB"/>
    <w:multiLevelType w:val="multilevel"/>
    <w:tmpl w:val="B750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62E0E"/>
    <w:multiLevelType w:val="multilevel"/>
    <w:tmpl w:val="09CA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E4C84"/>
    <w:multiLevelType w:val="multilevel"/>
    <w:tmpl w:val="6902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23320"/>
    <w:multiLevelType w:val="multilevel"/>
    <w:tmpl w:val="3A4E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852FB"/>
    <w:multiLevelType w:val="multilevel"/>
    <w:tmpl w:val="79FA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411EA"/>
    <w:multiLevelType w:val="multilevel"/>
    <w:tmpl w:val="01FC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97ECA"/>
    <w:multiLevelType w:val="hybridMultilevel"/>
    <w:tmpl w:val="AEBCD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7070"/>
    <w:multiLevelType w:val="multilevel"/>
    <w:tmpl w:val="8608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F62CF"/>
    <w:multiLevelType w:val="hybridMultilevel"/>
    <w:tmpl w:val="CD2A7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46175"/>
    <w:multiLevelType w:val="multilevel"/>
    <w:tmpl w:val="1EEE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B0567"/>
    <w:multiLevelType w:val="multilevel"/>
    <w:tmpl w:val="DBDC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331B6F"/>
    <w:multiLevelType w:val="multilevel"/>
    <w:tmpl w:val="4F36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33EF3"/>
    <w:multiLevelType w:val="multilevel"/>
    <w:tmpl w:val="531C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144B4C"/>
    <w:multiLevelType w:val="multilevel"/>
    <w:tmpl w:val="F24C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3C252B"/>
    <w:multiLevelType w:val="multilevel"/>
    <w:tmpl w:val="29AA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6656B1"/>
    <w:multiLevelType w:val="multilevel"/>
    <w:tmpl w:val="1D9E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3946A8"/>
    <w:multiLevelType w:val="multilevel"/>
    <w:tmpl w:val="DA5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FA65C5"/>
    <w:multiLevelType w:val="multilevel"/>
    <w:tmpl w:val="ED0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80530"/>
    <w:multiLevelType w:val="multilevel"/>
    <w:tmpl w:val="643E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632209"/>
    <w:multiLevelType w:val="multilevel"/>
    <w:tmpl w:val="B2C0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8D701C"/>
    <w:multiLevelType w:val="multilevel"/>
    <w:tmpl w:val="4972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321D01"/>
    <w:multiLevelType w:val="multilevel"/>
    <w:tmpl w:val="ED0A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480F7A"/>
    <w:multiLevelType w:val="multilevel"/>
    <w:tmpl w:val="C5F0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6164EE"/>
    <w:multiLevelType w:val="multilevel"/>
    <w:tmpl w:val="70B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776DB1"/>
    <w:multiLevelType w:val="multilevel"/>
    <w:tmpl w:val="B938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7B4734"/>
    <w:multiLevelType w:val="multilevel"/>
    <w:tmpl w:val="9E9C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2F41CA"/>
    <w:multiLevelType w:val="multilevel"/>
    <w:tmpl w:val="450E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CB6F09"/>
    <w:multiLevelType w:val="multilevel"/>
    <w:tmpl w:val="F66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9A4C8C"/>
    <w:multiLevelType w:val="multilevel"/>
    <w:tmpl w:val="D18C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C71410"/>
    <w:multiLevelType w:val="multilevel"/>
    <w:tmpl w:val="A382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8D3EB8"/>
    <w:multiLevelType w:val="multilevel"/>
    <w:tmpl w:val="9606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577FB3"/>
    <w:multiLevelType w:val="multilevel"/>
    <w:tmpl w:val="9FF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522378">
    <w:abstractNumId w:val="26"/>
  </w:num>
  <w:num w:numId="2" w16cid:durableId="561331395">
    <w:abstractNumId w:val="36"/>
  </w:num>
  <w:num w:numId="3" w16cid:durableId="857473641">
    <w:abstractNumId w:val="21"/>
  </w:num>
  <w:num w:numId="4" w16cid:durableId="343940726">
    <w:abstractNumId w:val="9"/>
  </w:num>
  <w:num w:numId="5" w16cid:durableId="124549329">
    <w:abstractNumId w:val="25"/>
  </w:num>
  <w:num w:numId="6" w16cid:durableId="1891114490">
    <w:abstractNumId w:val="18"/>
  </w:num>
  <w:num w:numId="7" w16cid:durableId="2091584556">
    <w:abstractNumId w:val="24"/>
  </w:num>
  <w:num w:numId="8" w16cid:durableId="2137212453">
    <w:abstractNumId w:val="19"/>
  </w:num>
  <w:num w:numId="9" w16cid:durableId="1665741746">
    <w:abstractNumId w:val="29"/>
  </w:num>
  <w:num w:numId="10" w16cid:durableId="1507984981">
    <w:abstractNumId w:val="39"/>
  </w:num>
  <w:num w:numId="11" w16cid:durableId="2046250455">
    <w:abstractNumId w:val="31"/>
  </w:num>
  <w:num w:numId="12" w16cid:durableId="830944285">
    <w:abstractNumId w:val="2"/>
  </w:num>
  <w:num w:numId="13" w16cid:durableId="1619795689">
    <w:abstractNumId w:val="5"/>
  </w:num>
  <w:num w:numId="14" w16cid:durableId="817067008">
    <w:abstractNumId w:val="1"/>
  </w:num>
  <w:num w:numId="15" w16cid:durableId="1322781867">
    <w:abstractNumId w:val="32"/>
  </w:num>
  <w:num w:numId="16" w16cid:durableId="1440830645">
    <w:abstractNumId w:val="20"/>
  </w:num>
  <w:num w:numId="17" w16cid:durableId="450127031">
    <w:abstractNumId w:val="37"/>
  </w:num>
  <w:num w:numId="18" w16cid:durableId="587273936">
    <w:abstractNumId w:val="6"/>
  </w:num>
  <w:num w:numId="19" w16cid:durableId="1922985477">
    <w:abstractNumId w:val="30"/>
  </w:num>
  <w:num w:numId="20" w16cid:durableId="1547252269">
    <w:abstractNumId w:val="0"/>
  </w:num>
  <w:num w:numId="21" w16cid:durableId="269944442">
    <w:abstractNumId w:val="23"/>
  </w:num>
  <w:num w:numId="22" w16cid:durableId="1855800251">
    <w:abstractNumId w:val="15"/>
  </w:num>
  <w:num w:numId="23" w16cid:durableId="1113329671">
    <w:abstractNumId w:val="8"/>
  </w:num>
  <w:num w:numId="24" w16cid:durableId="1906405133">
    <w:abstractNumId w:val="33"/>
  </w:num>
  <w:num w:numId="25" w16cid:durableId="71972315">
    <w:abstractNumId w:val="7"/>
  </w:num>
  <w:num w:numId="26" w16cid:durableId="1215894724">
    <w:abstractNumId w:val="34"/>
  </w:num>
  <w:num w:numId="27" w16cid:durableId="619265889">
    <w:abstractNumId w:val="35"/>
  </w:num>
  <w:num w:numId="28" w16cid:durableId="898324411">
    <w:abstractNumId w:val="11"/>
  </w:num>
  <w:num w:numId="29" w16cid:durableId="755437979">
    <w:abstractNumId w:val="38"/>
  </w:num>
  <w:num w:numId="30" w16cid:durableId="1817263719">
    <w:abstractNumId w:val="4"/>
  </w:num>
  <w:num w:numId="31" w16cid:durableId="297493455">
    <w:abstractNumId w:val="13"/>
  </w:num>
  <w:num w:numId="32" w16cid:durableId="442697104">
    <w:abstractNumId w:val="28"/>
  </w:num>
  <w:num w:numId="33" w16cid:durableId="1929577462">
    <w:abstractNumId w:val="3"/>
  </w:num>
  <w:num w:numId="34" w16cid:durableId="764691147">
    <w:abstractNumId w:val="10"/>
  </w:num>
  <w:num w:numId="35" w16cid:durableId="1236866379">
    <w:abstractNumId w:val="17"/>
  </w:num>
  <w:num w:numId="36" w16cid:durableId="1138644018">
    <w:abstractNumId w:val="12"/>
  </w:num>
  <w:num w:numId="37" w16cid:durableId="546919544">
    <w:abstractNumId w:val="22"/>
  </w:num>
  <w:num w:numId="38" w16cid:durableId="1571620431">
    <w:abstractNumId w:val="27"/>
  </w:num>
  <w:num w:numId="39" w16cid:durableId="1366520420">
    <w:abstractNumId w:val="14"/>
  </w:num>
  <w:num w:numId="40" w16cid:durableId="117587631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94"/>
    <w:rsid w:val="00025E01"/>
    <w:rsid w:val="00032809"/>
    <w:rsid w:val="00035C02"/>
    <w:rsid w:val="00042462"/>
    <w:rsid w:val="00046EA4"/>
    <w:rsid w:val="00051145"/>
    <w:rsid w:val="000515A4"/>
    <w:rsid w:val="00052266"/>
    <w:rsid w:val="00053722"/>
    <w:rsid w:val="00054373"/>
    <w:rsid w:val="00060B27"/>
    <w:rsid w:val="000618A7"/>
    <w:rsid w:val="000628C2"/>
    <w:rsid w:val="00077A1B"/>
    <w:rsid w:val="0008024D"/>
    <w:rsid w:val="00081D2F"/>
    <w:rsid w:val="00083B2E"/>
    <w:rsid w:val="00084C6A"/>
    <w:rsid w:val="00086FC1"/>
    <w:rsid w:val="000918CD"/>
    <w:rsid w:val="000965F3"/>
    <w:rsid w:val="00097B42"/>
    <w:rsid w:val="000A104C"/>
    <w:rsid w:val="000A6464"/>
    <w:rsid w:val="000A7B23"/>
    <w:rsid w:val="000B196C"/>
    <w:rsid w:val="000C6396"/>
    <w:rsid w:val="000D622F"/>
    <w:rsid w:val="000E0B58"/>
    <w:rsid w:val="000E53F9"/>
    <w:rsid w:val="000E61EC"/>
    <w:rsid w:val="000E7E11"/>
    <w:rsid w:val="000F02E4"/>
    <w:rsid w:val="000F3C38"/>
    <w:rsid w:val="000F466F"/>
    <w:rsid w:val="00107DEA"/>
    <w:rsid w:val="00110A6A"/>
    <w:rsid w:val="00114146"/>
    <w:rsid w:val="00123C3B"/>
    <w:rsid w:val="001253DC"/>
    <w:rsid w:val="00130281"/>
    <w:rsid w:val="0013583F"/>
    <w:rsid w:val="00143F90"/>
    <w:rsid w:val="0014506A"/>
    <w:rsid w:val="00150650"/>
    <w:rsid w:val="00155FC1"/>
    <w:rsid w:val="00162980"/>
    <w:rsid w:val="001630F7"/>
    <w:rsid w:val="00170AD0"/>
    <w:rsid w:val="00171596"/>
    <w:rsid w:val="00173BDA"/>
    <w:rsid w:val="00176C7B"/>
    <w:rsid w:val="00177054"/>
    <w:rsid w:val="0018001A"/>
    <w:rsid w:val="00181066"/>
    <w:rsid w:val="0018189F"/>
    <w:rsid w:val="00190D6F"/>
    <w:rsid w:val="00193646"/>
    <w:rsid w:val="001939E2"/>
    <w:rsid w:val="00193D5E"/>
    <w:rsid w:val="001A0143"/>
    <w:rsid w:val="001A79DE"/>
    <w:rsid w:val="001B0FAD"/>
    <w:rsid w:val="001B12D3"/>
    <w:rsid w:val="001B2A3D"/>
    <w:rsid w:val="001C3BDA"/>
    <w:rsid w:val="001C3F17"/>
    <w:rsid w:val="001C53CD"/>
    <w:rsid w:val="001D1B34"/>
    <w:rsid w:val="001D4EDF"/>
    <w:rsid w:val="001E1EBF"/>
    <w:rsid w:val="001E2548"/>
    <w:rsid w:val="001E3F13"/>
    <w:rsid w:val="001E5AA6"/>
    <w:rsid w:val="001F3B21"/>
    <w:rsid w:val="001F7B8C"/>
    <w:rsid w:val="00203487"/>
    <w:rsid w:val="002051B3"/>
    <w:rsid w:val="002113FA"/>
    <w:rsid w:val="00213F07"/>
    <w:rsid w:val="00216F38"/>
    <w:rsid w:val="002210FD"/>
    <w:rsid w:val="00226705"/>
    <w:rsid w:val="002337F5"/>
    <w:rsid w:val="00234D14"/>
    <w:rsid w:val="0023635D"/>
    <w:rsid w:val="00237845"/>
    <w:rsid w:val="00251854"/>
    <w:rsid w:val="00253014"/>
    <w:rsid w:val="00253B83"/>
    <w:rsid w:val="00253F7E"/>
    <w:rsid w:val="00270BA4"/>
    <w:rsid w:val="00275983"/>
    <w:rsid w:val="0027761A"/>
    <w:rsid w:val="002816CE"/>
    <w:rsid w:val="00282214"/>
    <w:rsid w:val="00282EF6"/>
    <w:rsid w:val="00283C36"/>
    <w:rsid w:val="00284EB2"/>
    <w:rsid w:val="002A58B5"/>
    <w:rsid w:val="002B1057"/>
    <w:rsid w:val="002B255C"/>
    <w:rsid w:val="002B3406"/>
    <w:rsid w:val="002B57BD"/>
    <w:rsid w:val="002C4422"/>
    <w:rsid w:val="002C7037"/>
    <w:rsid w:val="002D037B"/>
    <w:rsid w:val="002D0D3A"/>
    <w:rsid w:val="002D3A32"/>
    <w:rsid w:val="002D3B97"/>
    <w:rsid w:val="002D56B8"/>
    <w:rsid w:val="002D6EC5"/>
    <w:rsid w:val="002D75D2"/>
    <w:rsid w:val="002E39C7"/>
    <w:rsid w:val="002E5D92"/>
    <w:rsid w:val="002F1EF2"/>
    <w:rsid w:val="002F2A09"/>
    <w:rsid w:val="002F58FC"/>
    <w:rsid w:val="00304622"/>
    <w:rsid w:val="00307185"/>
    <w:rsid w:val="0030767D"/>
    <w:rsid w:val="00307C59"/>
    <w:rsid w:val="00313626"/>
    <w:rsid w:val="00315FE3"/>
    <w:rsid w:val="003168B3"/>
    <w:rsid w:val="003227B3"/>
    <w:rsid w:val="003250F8"/>
    <w:rsid w:val="0032575A"/>
    <w:rsid w:val="00326FCF"/>
    <w:rsid w:val="00340A41"/>
    <w:rsid w:val="00345331"/>
    <w:rsid w:val="0034612C"/>
    <w:rsid w:val="00351F5D"/>
    <w:rsid w:val="00355F67"/>
    <w:rsid w:val="00356AB2"/>
    <w:rsid w:val="0036633F"/>
    <w:rsid w:val="003667CA"/>
    <w:rsid w:val="00372F94"/>
    <w:rsid w:val="003777F4"/>
    <w:rsid w:val="00380792"/>
    <w:rsid w:val="003812BA"/>
    <w:rsid w:val="00382082"/>
    <w:rsid w:val="0038355A"/>
    <w:rsid w:val="00397C12"/>
    <w:rsid w:val="003A22B3"/>
    <w:rsid w:val="003A2E11"/>
    <w:rsid w:val="003A329E"/>
    <w:rsid w:val="003A52AA"/>
    <w:rsid w:val="003A7799"/>
    <w:rsid w:val="003B43C6"/>
    <w:rsid w:val="003B6319"/>
    <w:rsid w:val="003C1405"/>
    <w:rsid w:val="003C1924"/>
    <w:rsid w:val="003C6A14"/>
    <w:rsid w:val="003E1184"/>
    <w:rsid w:val="003E12D1"/>
    <w:rsid w:val="003E35C6"/>
    <w:rsid w:val="003E6097"/>
    <w:rsid w:val="0040418F"/>
    <w:rsid w:val="0040477D"/>
    <w:rsid w:val="0041450B"/>
    <w:rsid w:val="004176D1"/>
    <w:rsid w:val="00423517"/>
    <w:rsid w:val="00424F08"/>
    <w:rsid w:val="00437CBD"/>
    <w:rsid w:val="00440A5E"/>
    <w:rsid w:val="00441978"/>
    <w:rsid w:val="00450505"/>
    <w:rsid w:val="0045260A"/>
    <w:rsid w:val="00453D0F"/>
    <w:rsid w:val="00454329"/>
    <w:rsid w:val="00463848"/>
    <w:rsid w:val="00471A24"/>
    <w:rsid w:val="0047263A"/>
    <w:rsid w:val="0047419E"/>
    <w:rsid w:val="00476503"/>
    <w:rsid w:val="0048214E"/>
    <w:rsid w:val="004868F9"/>
    <w:rsid w:val="00494B70"/>
    <w:rsid w:val="004A0D0F"/>
    <w:rsid w:val="004A12CB"/>
    <w:rsid w:val="004A1A10"/>
    <w:rsid w:val="004A6D5B"/>
    <w:rsid w:val="004B0CA6"/>
    <w:rsid w:val="004B4F7C"/>
    <w:rsid w:val="004B67FB"/>
    <w:rsid w:val="004B6D84"/>
    <w:rsid w:val="004C079D"/>
    <w:rsid w:val="004C3F30"/>
    <w:rsid w:val="004C4874"/>
    <w:rsid w:val="004D2CD8"/>
    <w:rsid w:val="004F2CEA"/>
    <w:rsid w:val="004F5B6C"/>
    <w:rsid w:val="004F72D5"/>
    <w:rsid w:val="0050709F"/>
    <w:rsid w:val="00513C5E"/>
    <w:rsid w:val="00514A8F"/>
    <w:rsid w:val="00525B26"/>
    <w:rsid w:val="00527A7B"/>
    <w:rsid w:val="00537738"/>
    <w:rsid w:val="00537A94"/>
    <w:rsid w:val="00540884"/>
    <w:rsid w:val="0054107B"/>
    <w:rsid w:val="00542151"/>
    <w:rsid w:val="00544762"/>
    <w:rsid w:val="0055053C"/>
    <w:rsid w:val="00551A73"/>
    <w:rsid w:val="00553961"/>
    <w:rsid w:val="00560E8D"/>
    <w:rsid w:val="005639AC"/>
    <w:rsid w:val="00567AB2"/>
    <w:rsid w:val="00571DA8"/>
    <w:rsid w:val="00573892"/>
    <w:rsid w:val="00573C3F"/>
    <w:rsid w:val="00577545"/>
    <w:rsid w:val="00577A8B"/>
    <w:rsid w:val="00581166"/>
    <w:rsid w:val="00585678"/>
    <w:rsid w:val="0058655C"/>
    <w:rsid w:val="005877C3"/>
    <w:rsid w:val="00587CB4"/>
    <w:rsid w:val="00590369"/>
    <w:rsid w:val="00593AA1"/>
    <w:rsid w:val="00594D61"/>
    <w:rsid w:val="005A0CF0"/>
    <w:rsid w:val="005A3456"/>
    <w:rsid w:val="005B4668"/>
    <w:rsid w:val="005C3B50"/>
    <w:rsid w:val="005C5BE2"/>
    <w:rsid w:val="005C5EDF"/>
    <w:rsid w:val="005C7313"/>
    <w:rsid w:val="005C7487"/>
    <w:rsid w:val="005D2AE6"/>
    <w:rsid w:val="005D532F"/>
    <w:rsid w:val="005D6E5C"/>
    <w:rsid w:val="005E1F5E"/>
    <w:rsid w:val="005E27A9"/>
    <w:rsid w:val="005E35E2"/>
    <w:rsid w:val="005E588F"/>
    <w:rsid w:val="005F2674"/>
    <w:rsid w:val="005F28C4"/>
    <w:rsid w:val="00627B5F"/>
    <w:rsid w:val="006308B9"/>
    <w:rsid w:val="00631964"/>
    <w:rsid w:val="00633142"/>
    <w:rsid w:val="00636347"/>
    <w:rsid w:val="006363A4"/>
    <w:rsid w:val="00637E5B"/>
    <w:rsid w:val="006469E6"/>
    <w:rsid w:val="006476AD"/>
    <w:rsid w:val="0065110C"/>
    <w:rsid w:val="006511EF"/>
    <w:rsid w:val="00657DB9"/>
    <w:rsid w:val="00663606"/>
    <w:rsid w:val="006667FA"/>
    <w:rsid w:val="00677897"/>
    <w:rsid w:val="006877CD"/>
    <w:rsid w:val="006A1DDD"/>
    <w:rsid w:val="006B037B"/>
    <w:rsid w:val="006B3E39"/>
    <w:rsid w:val="006C27A0"/>
    <w:rsid w:val="006C4238"/>
    <w:rsid w:val="006C615E"/>
    <w:rsid w:val="006E1638"/>
    <w:rsid w:val="006E4756"/>
    <w:rsid w:val="006E6503"/>
    <w:rsid w:val="006F084D"/>
    <w:rsid w:val="006F44E9"/>
    <w:rsid w:val="00700C7C"/>
    <w:rsid w:val="0070458D"/>
    <w:rsid w:val="00712717"/>
    <w:rsid w:val="007142B3"/>
    <w:rsid w:val="00715018"/>
    <w:rsid w:val="00716B24"/>
    <w:rsid w:val="00717241"/>
    <w:rsid w:val="00721407"/>
    <w:rsid w:val="00727472"/>
    <w:rsid w:val="00730F5F"/>
    <w:rsid w:val="007320E8"/>
    <w:rsid w:val="00732BF7"/>
    <w:rsid w:val="00733635"/>
    <w:rsid w:val="00735978"/>
    <w:rsid w:val="00737425"/>
    <w:rsid w:val="00742F24"/>
    <w:rsid w:val="007439EA"/>
    <w:rsid w:val="0074756A"/>
    <w:rsid w:val="00752317"/>
    <w:rsid w:val="00752A03"/>
    <w:rsid w:val="00756190"/>
    <w:rsid w:val="0075750C"/>
    <w:rsid w:val="00762B28"/>
    <w:rsid w:val="00765816"/>
    <w:rsid w:val="00767078"/>
    <w:rsid w:val="00775A42"/>
    <w:rsid w:val="00777F97"/>
    <w:rsid w:val="00784732"/>
    <w:rsid w:val="00791DB0"/>
    <w:rsid w:val="00792288"/>
    <w:rsid w:val="007931CA"/>
    <w:rsid w:val="00793296"/>
    <w:rsid w:val="00793FE9"/>
    <w:rsid w:val="00796BA1"/>
    <w:rsid w:val="007A0488"/>
    <w:rsid w:val="007A367B"/>
    <w:rsid w:val="007B4DFF"/>
    <w:rsid w:val="007D212D"/>
    <w:rsid w:val="007D4CE6"/>
    <w:rsid w:val="007D559D"/>
    <w:rsid w:val="007E530D"/>
    <w:rsid w:val="007F2C4E"/>
    <w:rsid w:val="0080011D"/>
    <w:rsid w:val="00801134"/>
    <w:rsid w:val="008021D2"/>
    <w:rsid w:val="00802DE1"/>
    <w:rsid w:val="00803B9A"/>
    <w:rsid w:val="00804133"/>
    <w:rsid w:val="00804F75"/>
    <w:rsid w:val="00811181"/>
    <w:rsid w:val="00820A38"/>
    <w:rsid w:val="00827351"/>
    <w:rsid w:val="0083270B"/>
    <w:rsid w:val="008503E7"/>
    <w:rsid w:val="008520DF"/>
    <w:rsid w:val="0085564D"/>
    <w:rsid w:val="00866567"/>
    <w:rsid w:val="008717E7"/>
    <w:rsid w:val="00880A79"/>
    <w:rsid w:val="00880B68"/>
    <w:rsid w:val="00881512"/>
    <w:rsid w:val="00881D5C"/>
    <w:rsid w:val="00884162"/>
    <w:rsid w:val="00895B3A"/>
    <w:rsid w:val="008A1865"/>
    <w:rsid w:val="008A5935"/>
    <w:rsid w:val="008A5C17"/>
    <w:rsid w:val="008C62C1"/>
    <w:rsid w:val="008D6424"/>
    <w:rsid w:val="008E0CF5"/>
    <w:rsid w:val="008F75DE"/>
    <w:rsid w:val="009112AE"/>
    <w:rsid w:val="00911F81"/>
    <w:rsid w:val="00913389"/>
    <w:rsid w:val="00913A99"/>
    <w:rsid w:val="00913B3D"/>
    <w:rsid w:val="009151BA"/>
    <w:rsid w:val="00917D13"/>
    <w:rsid w:val="00931EFB"/>
    <w:rsid w:val="00937732"/>
    <w:rsid w:val="00946B40"/>
    <w:rsid w:val="00952684"/>
    <w:rsid w:val="00953897"/>
    <w:rsid w:val="00966E2F"/>
    <w:rsid w:val="00967153"/>
    <w:rsid w:val="00971530"/>
    <w:rsid w:val="00974DAE"/>
    <w:rsid w:val="0098275A"/>
    <w:rsid w:val="00983EC3"/>
    <w:rsid w:val="00986FE2"/>
    <w:rsid w:val="0098762A"/>
    <w:rsid w:val="009908DA"/>
    <w:rsid w:val="0099131E"/>
    <w:rsid w:val="009A1A2E"/>
    <w:rsid w:val="009A1DD7"/>
    <w:rsid w:val="009A4E87"/>
    <w:rsid w:val="009A7697"/>
    <w:rsid w:val="009B1263"/>
    <w:rsid w:val="009B1B6D"/>
    <w:rsid w:val="009B49A8"/>
    <w:rsid w:val="009B7421"/>
    <w:rsid w:val="009C2567"/>
    <w:rsid w:val="009D1A82"/>
    <w:rsid w:val="009D4E5E"/>
    <w:rsid w:val="009D77FA"/>
    <w:rsid w:val="009E2394"/>
    <w:rsid w:val="009E2ACB"/>
    <w:rsid w:val="009F3918"/>
    <w:rsid w:val="009F5F31"/>
    <w:rsid w:val="009F6668"/>
    <w:rsid w:val="009F7064"/>
    <w:rsid w:val="009F7DBF"/>
    <w:rsid w:val="00A108B5"/>
    <w:rsid w:val="00A2492E"/>
    <w:rsid w:val="00A24E9A"/>
    <w:rsid w:val="00A30C68"/>
    <w:rsid w:val="00A42EAA"/>
    <w:rsid w:val="00A4386F"/>
    <w:rsid w:val="00A4540B"/>
    <w:rsid w:val="00A51150"/>
    <w:rsid w:val="00A51178"/>
    <w:rsid w:val="00A51B8E"/>
    <w:rsid w:val="00A56BD3"/>
    <w:rsid w:val="00A57D11"/>
    <w:rsid w:val="00A614B3"/>
    <w:rsid w:val="00A62B4C"/>
    <w:rsid w:val="00A63864"/>
    <w:rsid w:val="00A71EC5"/>
    <w:rsid w:val="00A72C99"/>
    <w:rsid w:val="00A76CF9"/>
    <w:rsid w:val="00A77932"/>
    <w:rsid w:val="00A80A24"/>
    <w:rsid w:val="00A833C6"/>
    <w:rsid w:val="00A83981"/>
    <w:rsid w:val="00A844BD"/>
    <w:rsid w:val="00A953BD"/>
    <w:rsid w:val="00A97BFC"/>
    <w:rsid w:val="00AA4CFA"/>
    <w:rsid w:val="00AA5A12"/>
    <w:rsid w:val="00AA6A98"/>
    <w:rsid w:val="00AB04C3"/>
    <w:rsid w:val="00AB14CB"/>
    <w:rsid w:val="00AB3288"/>
    <w:rsid w:val="00AC02B4"/>
    <w:rsid w:val="00AC437F"/>
    <w:rsid w:val="00AC6F7A"/>
    <w:rsid w:val="00AD0680"/>
    <w:rsid w:val="00AD16EC"/>
    <w:rsid w:val="00AD7F3D"/>
    <w:rsid w:val="00AE0239"/>
    <w:rsid w:val="00AE24EF"/>
    <w:rsid w:val="00AE3739"/>
    <w:rsid w:val="00AE44CB"/>
    <w:rsid w:val="00AE4AAA"/>
    <w:rsid w:val="00AE4ED2"/>
    <w:rsid w:val="00AF19B6"/>
    <w:rsid w:val="00B009CE"/>
    <w:rsid w:val="00B0432C"/>
    <w:rsid w:val="00B07175"/>
    <w:rsid w:val="00B211CA"/>
    <w:rsid w:val="00B2272C"/>
    <w:rsid w:val="00B22F29"/>
    <w:rsid w:val="00B24C70"/>
    <w:rsid w:val="00B26837"/>
    <w:rsid w:val="00B33F05"/>
    <w:rsid w:val="00B34248"/>
    <w:rsid w:val="00B34E70"/>
    <w:rsid w:val="00B3525F"/>
    <w:rsid w:val="00B3551B"/>
    <w:rsid w:val="00B43475"/>
    <w:rsid w:val="00B4348E"/>
    <w:rsid w:val="00B51A20"/>
    <w:rsid w:val="00B55837"/>
    <w:rsid w:val="00B56798"/>
    <w:rsid w:val="00B60C9C"/>
    <w:rsid w:val="00B642D4"/>
    <w:rsid w:val="00B64635"/>
    <w:rsid w:val="00B66219"/>
    <w:rsid w:val="00B66C89"/>
    <w:rsid w:val="00B71852"/>
    <w:rsid w:val="00B823B5"/>
    <w:rsid w:val="00B8386E"/>
    <w:rsid w:val="00B8538A"/>
    <w:rsid w:val="00B9471B"/>
    <w:rsid w:val="00B9496F"/>
    <w:rsid w:val="00B96D84"/>
    <w:rsid w:val="00BA0E43"/>
    <w:rsid w:val="00BA2D2B"/>
    <w:rsid w:val="00BA680D"/>
    <w:rsid w:val="00BB11E5"/>
    <w:rsid w:val="00BB2479"/>
    <w:rsid w:val="00BC2E06"/>
    <w:rsid w:val="00BC5F43"/>
    <w:rsid w:val="00BC66A0"/>
    <w:rsid w:val="00BD01F3"/>
    <w:rsid w:val="00BD11B2"/>
    <w:rsid w:val="00BD1BC3"/>
    <w:rsid w:val="00BD4560"/>
    <w:rsid w:val="00BD6660"/>
    <w:rsid w:val="00BD7577"/>
    <w:rsid w:val="00BE1019"/>
    <w:rsid w:val="00BE289B"/>
    <w:rsid w:val="00BE2B88"/>
    <w:rsid w:val="00BF22E2"/>
    <w:rsid w:val="00BF62B4"/>
    <w:rsid w:val="00C107B7"/>
    <w:rsid w:val="00C13EA8"/>
    <w:rsid w:val="00C13F84"/>
    <w:rsid w:val="00C13FA1"/>
    <w:rsid w:val="00C13FCB"/>
    <w:rsid w:val="00C25CF5"/>
    <w:rsid w:val="00C26227"/>
    <w:rsid w:val="00C36FB3"/>
    <w:rsid w:val="00C543B4"/>
    <w:rsid w:val="00C54680"/>
    <w:rsid w:val="00C56A67"/>
    <w:rsid w:val="00C667C8"/>
    <w:rsid w:val="00C7118A"/>
    <w:rsid w:val="00C91CD4"/>
    <w:rsid w:val="00C97ED9"/>
    <w:rsid w:val="00CA1ABA"/>
    <w:rsid w:val="00CA3057"/>
    <w:rsid w:val="00CA3657"/>
    <w:rsid w:val="00CB08CE"/>
    <w:rsid w:val="00CB0C2F"/>
    <w:rsid w:val="00CB390D"/>
    <w:rsid w:val="00CB44F2"/>
    <w:rsid w:val="00CB56C7"/>
    <w:rsid w:val="00CB5AE7"/>
    <w:rsid w:val="00CB67A3"/>
    <w:rsid w:val="00CB790A"/>
    <w:rsid w:val="00CB7EC1"/>
    <w:rsid w:val="00CC4B58"/>
    <w:rsid w:val="00CC5446"/>
    <w:rsid w:val="00CD211B"/>
    <w:rsid w:val="00CE42E9"/>
    <w:rsid w:val="00CE711A"/>
    <w:rsid w:val="00CF0990"/>
    <w:rsid w:val="00CF3B46"/>
    <w:rsid w:val="00CF5665"/>
    <w:rsid w:val="00CF5D90"/>
    <w:rsid w:val="00CF625D"/>
    <w:rsid w:val="00D01A41"/>
    <w:rsid w:val="00D01ED4"/>
    <w:rsid w:val="00D076CA"/>
    <w:rsid w:val="00D10956"/>
    <w:rsid w:val="00D12A7E"/>
    <w:rsid w:val="00D16C6C"/>
    <w:rsid w:val="00D23D52"/>
    <w:rsid w:val="00D24A4C"/>
    <w:rsid w:val="00D3164C"/>
    <w:rsid w:val="00D33778"/>
    <w:rsid w:val="00D360B8"/>
    <w:rsid w:val="00D4018A"/>
    <w:rsid w:val="00D4451B"/>
    <w:rsid w:val="00D50C19"/>
    <w:rsid w:val="00D51C80"/>
    <w:rsid w:val="00D5427C"/>
    <w:rsid w:val="00D56BFD"/>
    <w:rsid w:val="00D57979"/>
    <w:rsid w:val="00D57EAD"/>
    <w:rsid w:val="00D62F6D"/>
    <w:rsid w:val="00D642C9"/>
    <w:rsid w:val="00D64AEB"/>
    <w:rsid w:val="00D651D1"/>
    <w:rsid w:val="00D667B3"/>
    <w:rsid w:val="00D72960"/>
    <w:rsid w:val="00D74240"/>
    <w:rsid w:val="00D76E25"/>
    <w:rsid w:val="00D81FB4"/>
    <w:rsid w:val="00D84809"/>
    <w:rsid w:val="00D85E4C"/>
    <w:rsid w:val="00D860D8"/>
    <w:rsid w:val="00DA2F1E"/>
    <w:rsid w:val="00DA4237"/>
    <w:rsid w:val="00DA504E"/>
    <w:rsid w:val="00DB1553"/>
    <w:rsid w:val="00DB1F2B"/>
    <w:rsid w:val="00DB5B7C"/>
    <w:rsid w:val="00DC521D"/>
    <w:rsid w:val="00DC7ADD"/>
    <w:rsid w:val="00DD08C8"/>
    <w:rsid w:val="00DD0930"/>
    <w:rsid w:val="00DD58A5"/>
    <w:rsid w:val="00DD6446"/>
    <w:rsid w:val="00DF00EE"/>
    <w:rsid w:val="00DF638D"/>
    <w:rsid w:val="00E05EAC"/>
    <w:rsid w:val="00E0704C"/>
    <w:rsid w:val="00E07DE4"/>
    <w:rsid w:val="00E11541"/>
    <w:rsid w:val="00E238CF"/>
    <w:rsid w:val="00E26CD5"/>
    <w:rsid w:val="00E32ADE"/>
    <w:rsid w:val="00E32FB6"/>
    <w:rsid w:val="00E42C28"/>
    <w:rsid w:val="00E42D0F"/>
    <w:rsid w:val="00E43F47"/>
    <w:rsid w:val="00E47844"/>
    <w:rsid w:val="00E51997"/>
    <w:rsid w:val="00E541B2"/>
    <w:rsid w:val="00E54A6F"/>
    <w:rsid w:val="00E5648B"/>
    <w:rsid w:val="00E5679E"/>
    <w:rsid w:val="00E6160F"/>
    <w:rsid w:val="00E62C0D"/>
    <w:rsid w:val="00E63FEA"/>
    <w:rsid w:val="00E65606"/>
    <w:rsid w:val="00E6620A"/>
    <w:rsid w:val="00E66919"/>
    <w:rsid w:val="00E714D8"/>
    <w:rsid w:val="00E727E5"/>
    <w:rsid w:val="00E74198"/>
    <w:rsid w:val="00E83818"/>
    <w:rsid w:val="00E84B7C"/>
    <w:rsid w:val="00E90479"/>
    <w:rsid w:val="00E905A4"/>
    <w:rsid w:val="00E91462"/>
    <w:rsid w:val="00E91CAB"/>
    <w:rsid w:val="00E92C44"/>
    <w:rsid w:val="00EA4C4B"/>
    <w:rsid w:val="00EB0897"/>
    <w:rsid w:val="00EB32C2"/>
    <w:rsid w:val="00EB3594"/>
    <w:rsid w:val="00EB3A62"/>
    <w:rsid w:val="00EB4BD5"/>
    <w:rsid w:val="00EB5AF2"/>
    <w:rsid w:val="00EB7362"/>
    <w:rsid w:val="00EB7FE0"/>
    <w:rsid w:val="00EC236B"/>
    <w:rsid w:val="00EC4F30"/>
    <w:rsid w:val="00EC5E10"/>
    <w:rsid w:val="00ED7A15"/>
    <w:rsid w:val="00EE24F2"/>
    <w:rsid w:val="00EE2810"/>
    <w:rsid w:val="00EE4AE0"/>
    <w:rsid w:val="00EF007A"/>
    <w:rsid w:val="00EF27AE"/>
    <w:rsid w:val="00EF72BB"/>
    <w:rsid w:val="00F10708"/>
    <w:rsid w:val="00F1472B"/>
    <w:rsid w:val="00F178B4"/>
    <w:rsid w:val="00F21812"/>
    <w:rsid w:val="00F23483"/>
    <w:rsid w:val="00F23D66"/>
    <w:rsid w:val="00F2517E"/>
    <w:rsid w:val="00F2689D"/>
    <w:rsid w:val="00F30DE7"/>
    <w:rsid w:val="00F33258"/>
    <w:rsid w:val="00F348FB"/>
    <w:rsid w:val="00F410C2"/>
    <w:rsid w:val="00F41D41"/>
    <w:rsid w:val="00F44E8A"/>
    <w:rsid w:val="00F459C9"/>
    <w:rsid w:val="00F47D20"/>
    <w:rsid w:val="00F50423"/>
    <w:rsid w:val="00F53656"/>
    <w:rsid w:val="00F764C4"/>
    <w:rsid w:val="00F83896"/>
    <w:rsid w:val="00F84933"/>
    <w:rsid w:val="00FA69A9"/>
    <w:rsid w:val="00FA743A"/>
    <w:rsid w:val="00FB6CC4"/>
    <w:rsid w:val="00FC2235"/>
    <w:rsid w:val="00FC71B7"/>
    <w:rsid w:val="00FD11DB"/>
    <w:rsid w:val="00FD521E"/>
    <w:rsid w:val="00FE5430"/>
    <w:rsid w:val="00FF0605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A974E5A"/>
  <w15:chartTrackingRefBased/>
  <w15:docId w15:val="{4EDB722B-258A-C745-98E3-4660294D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38D"/>
    <w:rPr>
      <w:rFonts w:ascii="Montserrat" w:eastAsia="Times New Roman" w:hAnsi="Montserrat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F0605"/>
    <w:pPr>
      <w:keepNext/>
      <w:keepLines/>
      <w:spacing w:before="360" w:after="80"/>
      <w:outlineLvl w:val="0"/>
    </w:pPr>
    <w:rPr>
      <w:rFonts w:ascii="Montserrat ExtraBold" w:eastAsiaTheme="majorEastAsia" w:hAnsi="Montserrat ExtraBold" w:cstheme="majorBidi"/>
      <w:b/>
      <w:color w:val="02213B"/>
      <w:sz w:val="48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2810"/>
    <w:pPr>
      <w:keepNext/>
      <w:keepLines/>
      <w:spacing w:before="160" w:after="80"/>
      <w:outlineLvl w:val="1"/>
    </w:pPr>
    <w:rPr>
      <w:rFonts w:eastAsiaTheme="majorEastAsia" w:cstheme="majorBidi"/>
      <w:b/>
      <w:color w:val="01AFEF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0605"/>
    <w:pPr>
      <w:keepNext/>
      <w:keepLines/>
      <w:spacing w:before="160" w:after="80"/>
      <w:outlineLvl w:val="2"/>
    </w:pPr>
    <w:rPr>
      <w:rFonts w:ascii="Montserrat SemiBold" w:eastAsiaTheme="majorEastAsia" w:hAnsi="Montserrat SemiBold" w:cstheme="majorBidi"/>
      <w:b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E23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23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23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23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23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23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0605"/>
    <w:rPr>
      <w:rFonts w:ascii="Montserrat ExtraBold" w:eastAsiaTheme="majorEastAsia" w:hAnsi="Montserrat ExtraBold" w:cstheme="majorBidi"/>
      <w:b/>
      <w:color w:val="02213B"/>
      <w:sz w:val="48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E2810"/>
    <w:rPr>
      <w:rFonts w:ascii="Montserrat" w:eastAsiaTheme="majorEastAsia" w:hAnsi="Montserrat" w:cstheme="majorBidi"/>
      <w:b/>
      <w:color w:val="01AFEF"/>
      <w:kern w:val="0"/>
      <w:sz w:val="40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FF0605"/>
    <w:rPr>
      <w:rFonts w:ascii="Montserrat SemiBold" w:eastAsiaTheme="majorEastAsia" w:hAnsi="Montserrat SemiBold" w:cstheme="majorBidi"/>
      <w:b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E23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23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23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23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23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23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3B9A"/>
    <w:pPr>
      <w:spacing w:after="80"/>
      <w:contextualSpacing/>
      <w:jc w:val="center"/>
    </w:pPr>
    <w:rPr>
      <w:rFonts w:ascii="Montserrat ExtraBold" w:eastAsiaTheme="majorEastAsia" w:hAnsi="Montserrat ExtraBold" w:cstheme="majorBidi"/>
      <w:b/>
      <w:color w:val="0F3149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3B9A"/>
    <w:rPr>
      <w:rFonts w:ascii="Montserrat ExtraBold" w:eastAsiaTheme="majorEastAsia" w:hAnsi="Montserrat ExtraBold" w:cstheme="majorBidi"/>
      <w:b/>
      <w:color w:val="0F3149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23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2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23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2394"/>
    <w:rPr>
      <w:rFonts w:ascii="Clash Display" w:hAnsi="Clash Display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23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23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2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2394"/>
    <w:rPr>
      <w:rFonts w:ascii="Clash Display" w:hAnsi="Clash Display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239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E23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2394"/>
    <w:rPr>
      <w:rFonts w:ascii="Clash Display" w:hAnsi="Clash Display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9E23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2394"/>
    <w:rPr>
      <w:rFonts w:ascii="Clash Display" w:hAnsi="Clash Display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E905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5A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32FB6"/>
    <w:rPr>
      <w:color w:val="96607D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BA0E43"/>
    <w:pPr>
      <w:spacing w:before="480" w:after="0" w:line="276" w:lineRule="auto"/>
      <w:outlineLvl w:val="9"/>
    </w:pPr>
    <w:rPr>
      <w:rFonts w:asciiTheme="majorHAnsi" w:hAnsiTheme="majorHAnsi"/>
      <w:bCs/>
      <w:color w:val="0F4761" w:themeColor="accent1" w:themeShade="BF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BA0E4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BA0E43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BA0E43"/>
    <w:pPr>
      <w:ind w:left="4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BA0E43"/>
    <w:pPr>
      <w:ind w:left="72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BA0E43"/>
    <w:pPr>
      <w:ind w:left="96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BA0E43"/>
    <w:pPr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BA0E43"/>
    <w:pPr>
      <w:ind w:left="144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BA0E43"/>
    <w:pPr>
      <w:ind w:left="16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BA0E43"/>
    <w:pPr>
      <w:ind w:left="1920"/>
    </w:pPr>
    <w:rPr>
      <w:rFonts w:asciiTheme="minorHAnsi" w:hAnsiTheme="minorHAnsi"/>
      <w:sz w:val="20"/>
      <w:szCs w:val="20"/>
    </w:rPr>
  </w:style>
  <w:style w:type="paragraph" w:styleId="Bezmezer">
    <w:name w:val="No Spacing"/>
    <w:aliases w:val="Zvýraznění modré"/>
    <w:basedOn w:val="Normln"/>
    <w:next w:val="Normln"/>
    <w:link w:val="BezmezerChar"/>
    <w:autoRedefine/>
    <w:uiPriority w:val="1"/>
    <w:qFormat/>
    <w:rsid w:val="00DB5B7C"/>
    <w:rPr>
      <w:rFonts w:ascii="Montserrat SemiBold" w:eastAsiaTheme="minorEastAsia" w:hAnsi="Montserrat SemiBold"/>
      <w:b/>
      <w:color w:val="01AFF0"/>
      <w:sz w:val="22"/>
      <w:szCs w:val="22"/>
      <w:lang w:val="en-US" w:eastAsia="zh-CN"/>
    </w:rPr>
  </w:style>
  <w:style w:type="character" w:customStyle="1" w:styleId="BezmezerChar">
    <w:name w:val="Bez mezer Char"/>
    <w:aliases w:val="Zvýraznění modré Char"/>
    <w:basedOn w:val="Standardnpsmoodstavce"/>
    <w:link w:val="Bezmezer"/>
    <w:uiPriority w:val="1"/>
    <w:rsid w:val="00DB5B7C"/>
    <w:rPr>
      <w:rFonts w:ascii="Montserrat SemiBold" w:eastAsiaTheme="minorEastAsia" w:hAnsi="Montserrat SemiBold"/>
      <w:b/>
      <w:color w:val="01AFF0"/>
      <w:kern w:val="0"/>
      <w:sz w:val="22"/>
      <w:szCs w:val="22"/>
      <w:lang w:val="en-US" w:eastAsia="zh-CN"/>
      <w14:ligatures w14:val="none"/>
    </w:rPr>
  </w:style>
  <w:style w:type="character" w:styleId="Zdraznnjemn">
    <w:name w:val="Subtle Emphasis"/>
    <w:aliases w:val="Kurzíva modré"/>
    <w:basedOn w:val="Standardnpsmoodstavce"/>
    <w:uiPriority w:val="19"/>
    <w:qFormat/>
    <w:rsid w:val="00DB5B7C"/>
    <w:rPr>
      <w:rFonts w:ascii="Montserrat" w:hAnsi="Montserrat"/>
      <w:b w:val="0"/>
      <w:i/>
      <w:iCs/>
      <w:color w:val="01AFF0"/>
    </w:rPr>
  </w:style>
  <w:style w:type="character" w:styleId="slostrnky">
    <w:name w:val="page number"/>
    <w:basedOn w:val="Standardnpsmoodstavce"/>
    <w:uiPriority w:val="99"/>
    <w:semiHidden/>
    <w:unhideWhenUsed/>
    <w:rsid w:val="00803B9A"/>
  </w:style>
  <w:style w:type="character" w:styleId="Zdraznn">
    <w:name w:val="Emphasis"/>
    <w:basedOn w:val="Standardnpsmoodstavce"/>
    <w:uiPriority w:val="20"/>
    <w:qFormat/>
    <w:rsid w:val="00BE289B"/>
    <w:rPr>
      <w:i/>
      <w:iCs/>
    </w:rPr>
  </w:style>
  <w:style w:type="paragraph" w:styleId="Normlnweb">
    <w:name w:val="Normal (Web)"/>
    <w:basedOn w:val="Normln"/>
    <w:uiPriority w:val="99"/>
    <w:unhideWhenUsed/>
    <w:rsid w:val="00CB790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B790A"/>
    <w:rPr>
      <w:b/>
      <w:bCs/>
    </w:rPr>
  </w:style>
  <w:style w:type="character" w:customStyle="1" w:styleId="apple-converted-space">
    <w:name w:val="apple-converted-space"/>
    <w:basedOn w:val="Standardnpsmoodstavce"/>
    <w:rsid w:val="0042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4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7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87ead-d5e8-4e21-9cdd-7839628784b4">
      <Terms xmlns="http://schemas.microsoft.com/office/infopath/2007/PartnerControls"/>
    </lcf76f155ced4ddcb4097134ff3c332f>
    <TaxCatchAll xmlns="4d132af3-fd27-42a3-a76c-2bdc6f2f33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59F74A66EBA14995AB6ABBF9785AAD" ma:contentTypeVersion="13" ma:contentTypeDescription="Vytvoří nový dokument" ma:contentTypeScope="" ma:versionID="a6e14bca4f0015deeed4a9396e5b8f2b">
  <xsd:schema xmlns:xsd="http://www.w3.org/2001/XMLSchema" xmlns:xs="http://www.w3.org/2001/XMLSchema" xmlns:p="http://schemas.microsoft.com/office/2006/metadata/properties" xmlns:ns2="67687ead-d5e8-4e21-9cdd-7839628784b4" xmlns:ns3="4d132af3-fd27-42a3-a76c-2bdc6f2f3379" targetNamespace="http://schemas.microsoft.com/office/2006/metadata/properties" ma:root="true" ma:fieldsID="d69f29730cea79ec0f0472fd69491b7a" ns2:_="" ns3:_="">
    <xsd:import namespace="67687ead-d5e8-4e21-9cdd-7839628784b4"/>
    <xsd:import namespace="4d132af3-fd27-42a3-a76c-2bdc6f2f3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87ead-d5e8-4e21-9cdd-783962878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8a8a769-f983-4506-be32-d019361bf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32af3-fd27-42a3-a76c-2bdc6f2f33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fb5eed-17b3-4e68-abda-66405c43ed34}" ma:internalName="TaxCatchAll" ma:showField="CatchAllData" ma:web="4d132af3-fd27-42a3-a76c-2bdc6f2f3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4653E-BB0E-D849-997C-E072A9860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325CD-5E19-47B0-92A0-96F43C01DA77}">
  <ds:schemaRefs>
    <ds:schemaRef ds:uri="http://schemas.microsoft.com/office/2006/metadata/properties"/>
    <ds:schemaRef ds:uri="http://schemas.microsoft.com/office/infopath/2007/PartnerControls"/>
    <ds:schemaRef ds:uri="67687ead-d5e8-4e21-9cdd-7839628784b4"/>
    <ds:schemaRef ds:uri="4d132af3-fd27-42a3-a76c-2bdc6f2f3379"/>
  </ds:schemaRefs>
</ds:datastoreItem>
</file>

<file path=customXml/itemProps3.xml><?xml version="1.0" encoding="utf-8"?>
<ds:datastoreItem xmlns:ds="http://schemas.openxmlformats.org/officeDocument/2006/customXml" ds:itemID="{FD1A66E4-C4CA-4458-82C4-1638B7B264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F5E78-2363-4F5F-A435-958D70700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87ead-d5e8-4e21-9cdd-7839628784b4"/>
    <ds:schemaRef ds:uri="4d132af3-fd27-42a3-a76c-2bdc6f2f3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932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</vt:lpstr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</dc:title>
  <dc:subject>Růžový slon</dc:subject>
  <dc:creator>Martin Komárek</dc:creator>
  <cp:keywords/>
  <dc:description/>
  <cp:lastModifiedBy>Lukáš Kuchta</cp:lastModifiedBy>
  <cp:revision>6</cp:revision>
  <cp:lastPrinted>2025-09-15T08:53:00Z</cp:lastPrinted>
  <dcterms:created xsi:type="dcterms:W3CDTF">2025-09-15T08:53:00Z</dcterms:created>
  <dcterms:modified xsi:type="dcterms:W3CDTF">2025-09-26T12:16:00Z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0x010100EF59F74A66EBA14995AB6ABBF9785AAD</vt:lpwstr>
  </property>
  <property fmtid="{D5CDD505-2E9C-101B-9397-08002B2CF9AE}" pid="3" name="MediaServiceImageTags">
    <vt:lpwstr/>
  </property>
</Properties>
</file>