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66" w:rsidRDefault="00506166" w:rsidP="00506166">
      <w:pPr>
        <w:spacing w:before="600" w:after="600" w:line="276" w:lineRule="auto"/>
        <w:ind w:left="567"/>
        <w:jc w:val="center"/>
        <w:rPr>
          <w:b/>
          <w:caps/>
          <w:sz w:val="28"/>
          <w:u w:val="single"/>
        </w:rPr>
      </w:pPr>
      <w:r w:rsidRPr="009C3220">
        <w:rPr>
          <w:b/>
          <w:caps/>
          <w:sz w:val="28"/>
          <w:u w:val="single"/>
        </w:rPr>
        <w:t xml:space="preserve">Specifikace </w:t>
      </w:r>
      <w:r w:rsidR="002E6C6B">
        <w:rPr>
          <w:b/>
          <w:caps/>
          <w:sz w:val="28"/>
          <w:u w:val="single"/>
        </w:rPr>
        <w:t>Routerů</w:t>
      </w:r>
    </w:p>
    <w:p w:rsidR="002E6C6B" w:rsidRPr="00211790" w:rsidRDefault="002E6C6B" w:rsidP="002E6C6B">
      <w:pPr>
        <w:spacing w:after="120" w:line="276" w:lineRule="auto"/>
        <w:ind w:left="567"/>
        <w:jc w:val="both"/>
      </w:pPr>
      <w:r w:rsidRPr="00211790">
        <w:t>Předmětem dodávky budou dva (2) kusy zařízení (identický typ) minimální specifikace požadovaná zadavatelem je následující: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E573C1" w:rsidRDefault="00E573C1" w:rsidP="002E6C6B">
      <w:pPr>
        <w:spacing w:after="120" w:line="276" w:lineRule="auto"/>
        <w:ind w:left="567"/>
        <w:jc w:val="both"/>
      </w:pPr>
    </w:p>
    <w:tbl>
      <w:tblPr>
        <w:tblW w:w="10915" w:type="dxa"/>
        <w:tblInd w:w="-8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2033"/>
        <w:gridCol w:w="3375"/>
        <w:gridCol w:w="1078"/>
        <w:gridCol w:w="2444"/>
      </w:tblGrid>
      <w:tr w:rsidR="002E6C6B" w:rsidRPr="00211790" w:rsidTr="00EB2736">
        <w:trPr>
          <w:trHeight w:val="394"/>
        </w:trPr>
        <w:tc>
          <w:tcPr>
            <w:tcW w:w="11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Kategorie</w:t>
            </w:r>
          </w:p>
        </w:tc>
        <w:tc>
          <w:tcPr>
            <w:tcW w:w="8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ID</w:t>
            </w:r>
          </w:p>
        </w:tc>
        <w:tc>
          <w:tcPr>
            <w:tcW w:w="203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Požadavek</w:t>
            </w:r>
          </w:p>
        </w:tc>
        <w:tc>
          <w:tcPr>
            <w:tcW w:w="3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Upřesnění</w:t>
            </w:r>
          </w:p>
        </w:tc>
        <w:tc>
          <w:tcPr>
            <w:tcW w:w="1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Hodnota</w:t>
            </w:r>
          </w:p>
        </w:tc>
        <w:tc>
          <w:tcPr>
            <w:tcW w:w="24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851DFC" w:rsidRDefault="000562AB" w:rsidP="00851DF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Parametr</w:t>
            </w:r>
            <w:r w:rsidR="002E6C6B" w:rsidRPr="002E6C6B">
              <w:rPr>
                <w:b/>
                <w:sz w:val="22"/>
              </w:rPr>
              <w:t xml:space="preserve"> dodávan</w:t>
            </w:r>
            <w:r>
              <w:rPr>
                <w:b/>
                <w:sz w:val="22"/>
              </w:rPr>
              <w:t>ého produktu</w:t>
            </w:r>
          </w:p>
          <w:p w:rsidR="00851DFC" w:rsidRPr="002E6C6B" w:rsidRDefault="00851DFC" w:rsidP="00851DF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(uvedením parametru / funkcionality)</w:t>
            </w:r>
          </w:p>
        </w:tc>
      </w:tr>
      <w:tr w:rsidR="002E6C6B" w:rsidRPr="00211790" w:rsidTr="00EB2736">
        <w:trPr>
          <w:trHeight w:val="537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Základní parametry: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Max. výška (RU):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62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Max. hloubka (cm):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Rozměr zahrnuje i případný cable-management, tzn. ohyby kabelů, apod.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max 60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6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Instalace na 19" lišty v racku: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Zamýšlená instalace 19 palců racku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6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Airflow provedení: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Specifikace požadavku na provedení chlazení zařízení.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Aktivní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Airflow směr: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Požadovaný směr proudění vzduchu skrze zařízení.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Front2back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Airflow - redundantní FAN: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Provoz v režimu N+1.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Airflow - FAN hotswap: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Chladící ventilátory vyměnitelné za provozu.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6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Napájení - redundance: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Provoz v režimu napájení N+1.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Napájení - hotswap PSU: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Napájecí zdroje vyměnitelné za provozu.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0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Napájení - PSU1: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AC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3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Napájení - PSU2: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AC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3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Console (RJ-45 nebo USB type B/C):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9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OoB mgmt: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Provedení RJ-45.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61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USB type A/C (Mass storage):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připojení externího flash disku, např. pro potřebu recovery OS.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72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Management: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User authentication: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Local, Radius, Tacacs, Certificate. Všechny možnosti nezávisle na sobě.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8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Rozhraní API: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 využitím protokolu NETCONF dle RFC 6241, transportní protokol SSH dle RFC 6242.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Plné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SNMP v3: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7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Streaming Network Telemetry: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Požadovaný transportní protokol: gRPC.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3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Embedded packet capture: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Univerzální diagnostický nástroj. TCPdump pro provoz procházející prvkem nebo provoz, který je pro prvek určený.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bookmarkStart w:id="0" w:name="_GoBack"/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  <w:bookmarkEnd w:id="0"/>
          </w:p>
        </w:tc>
      </w:tr>
      <w:tr w:rsidR="002E6C6B" w:rsidRPr="00211790" w:rsidTr="00EB2736">
        <w:trPr>
          <w:trHeight w:val="33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Ping/Traceroute: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Univerzální diagnostické nástroje.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Event manager/Scheduler: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provádět akce na základě událostí nebo času.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Flow-based monitoring: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IPFIX (RFC 7011), případně možno použít Netflow v9 (RFC 3954).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Syslog (local, remote):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Vč. podpory TCP a SSL/TLS. Remote minimálně na 2 servery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19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NTP client / server: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 přesnou synchronizaci času, vč. autentizace. Případný NTP server musí být deaktivovatelný. Klient musí umět komunikovat minimálně na 4 servery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6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Automatizovaný backup (SCP,FTPS,...):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automatického exportu konfigurace na vzdálený server. Po commitu (uložení konfigurace), za časový úsek.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Bash access: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připojení do "host" systému.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65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Porty: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Subinterface: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Každý interface musí poskytovat možnost individuální konfigurace parametrů jako encapsulace, vlan-id, atd…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Encapsulation per subinterface: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Kombinace L3, L2 IPVPN, VPLS, EVPN, L2circuit(xconnect), atd.... pod jedním fyzickým portem.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Jumbo MTU: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Podpora velikosti packetu minimálně 9kB.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100G (QSFP28):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portovou výbavu se šachtami ve zmíněném provedení.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24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5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25G (SFP+):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portovou výbavu se šachtami ve zmíněném provedení včetně zpětné kompatibility s linkovou rychlostí 10Gbps a 1Gbps.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16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50G SFP56: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portovou výbavu se šachtami ve zmíněném provedení.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8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400G (QSFP-DD):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portovou výbavu se šachtami ve zmíněném provedení.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4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Interface damping: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Ochrana proti opakovanému flapovaní fyzického portu.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IEEE 802.3ah (OAM):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IEEE 802.3ah. Použitelné i pro "L2" porty.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0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L3 funkce:</w:t>
            </w:r>
          </w:p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ACL: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Routovaný vlan interface (VLAN/RVI/IRB...):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 subinterface: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Statický routing: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OSPF v2 i v3: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6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OSPF v2 i v3 authentication: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OSPF v2 TE: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IS-IS: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IS-IS authentication: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IS-IS TE: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BGP: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0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BGP authentication: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MD5 dle RFC2385.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BGP authentication: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TCP-AO dle RFC5925.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BGP neighborship: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Předpokládaný počet navázaných aktivních sousedství.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200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uRPF: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Strict / loose režim.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VRF: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16000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DHCP relay (IPv4/IPv6):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Musí být konfigurovatelné i v rámci VRF.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6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BFD: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konfigurace se static route, OSPF, IS-IS, BGP.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7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Policy based routing: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5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l3f-20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Filter based routing: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24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l3f-21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Min. velikost RIB (Routing Information Base)/FIB (Forwarding Information Base):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Hw musí podporovat na úrovni routovacího protokolu import/export policy s cílem řídit instalaci prefixu do RIB/FIB.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10Mio/10Mio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62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l3f-22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ECMP balancing: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počet současně aktivních cest.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16 cest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61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pro L3 (IPv4/IPv6):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mít současně aktivní IPv4 i IPv6 na jednom fyzickém portu.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0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pro L2: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Ethernet, cross-connect, pseudowire.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3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aplikace na interface/subinterface/VLAN: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Možná aplikace ve směrech IN i OUT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0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pro CPU: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Ochrana seba sama CoPP vč. VTY.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match condition L2-L4: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7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action: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Minimálně accept/reject/log/count/policer/discard.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94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BNG: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BNG routingu.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9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PPPoE uživatelé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Počet terminovaných PPPoE uživatelů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 7500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7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PPPoE rozšíření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rozšíření počtu PPPoE uživatelů pomocí licence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o dalších 5000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6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PPPoE rozšíření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Licence je mozne kupovat v balicich po 1k uzivatelu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1:1 CVLAN Single Stack(V4) DHCP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1:1 CVLAN Single Stack(V4) PPPoE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1:1 CVLAN Dual Stack DHCP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1:1 CVLAN Dual Stack PPPoE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3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N:1 Service VlAN Single Stack(V4) DHCP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1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N:1 Service VLAN Single Stack(V4) PPPoE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044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N:1 Service VlAN Dual Stack DHCP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N:1 Service VLAN Dual Stack PPPoE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60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L2 funkce: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STP security: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BPDU Guard, Loop Guard, Root Guard.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9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IEEE 802.3: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Bundling/bridging na úrovni ethernetu.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VLAN ID manipulace: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IN/OUT: swap/push/pop.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9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MAC Table size: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7 Mio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6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ESI-LAG/LACP: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LACP složené přes BGP signalizaci dle RFC8365.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3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LLDP: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IEEE 802.1ab.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QoS: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 podporovaný v HW: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Egress port shaping: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omezení rychlosti (shapingu) fyzického portu.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Egress queue shaping: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omezení rychlosti (shapingu) samotné queue.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Strict priority (LLQ):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WRED mechanismus: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Policing na úrovni interface/subinterface: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9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Trust traffic classification: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802.1p, DSCP, MPLS EXP, IP Precedence.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Untrust traffic classification: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 základě ACL pro L2-L4 hlavičky.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 profily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přidání &gt; 1000 uživatelů na logickém rozhraní každý s vlastním QoS profilem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Min. 8 front: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konfigurace parametrů.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MCAST: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mcast-01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IGMP snooping v2 i v3: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konfigurace pro verzi 2 i 3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5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mcast-02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IGMP v2 i v3: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konfigurace pro verzi 2 i 3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2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mcast-03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PIM IPv4/IPv6: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Režimy SSM, ASM vč. možnosti konfigurace pro IPv4 i IPv6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4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Static MAC entry: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sec-13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MACsec na NNI: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MAC sec na všech portech v line rate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AES-256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94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lastRenderedPageBreak/>
              <w:t>Flow-based monitoring: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Export síťových toků (flow):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Podpora vzdáleného exportu metadat síťových toků pro účely diagnostiky a bezpečnostního monitoringu.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6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monitor-19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Flow protokol IPFIX nebo Netflow v9: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Akceptované verze protokolu jsou IPFIX (dle RFC7011) nebo Netflow v9 (dle RFC3954).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509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Syslog: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Zaznamenávání událostí: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Události v systému musí být evidovány do deníku událostí (log file). Zařízení musí být schopno tyto záznamy odesílat na externí zařízení prostřednictvím protokolu Syslog a to minimálně na 2 různá současně. Záznamy událostí musí minimálně obsahovat datum a čas, typ činnosti, identifikaci technického aktiva, které činnost zaznamenalo, jednoznačnou identifikaci účtu, pod kterým byla činnost provedena, jednoznačnou síťovou identifikaci původce a úspěšnost nebo neúspěšnost činnosti. Musí být zaznamenávány minimálně všechny typy událostí popsané v Vyhlášce o Kybernetické Bezpečnosti č. 82/2018 Sb., popsané v §22 2) d).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82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Ochrana logů proti neoprávněné manipulaci: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 uloženými systémovými logy nesmí být možno manipulovat pomocí neprivilegovaného účtu.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8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Syslog formát dle RFC 5424: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Zasíláný syslog v lze zasílat v novějším formátu specifikovánem v RFC 5424.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6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Syslog over TCP (RFC 6587):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Podpora přenosu událostí na vzdálený kolektor pomocí Syslogu transportním protokolem TCP, jak popisuje RFC 6587.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Konfigurovatelný cílový L4 port: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Lze nakonfigurovat cílový L4 port transportního protokolu (TCP/UDP) vzdáleného syslog kolektoru.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0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Syslog over TLS (RFC 5425):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Syslog zprávy lze zasílat na vzdálený kolektor v šifrované podobně pomocí TLS protokolu jak je popsáno v RFC 5425.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236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Enviromentální: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env-01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ČSN EN 61000-3-2: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Elektromagnetická kompatibilita (EMC) - Část 3-2: Meze - Meze pro emise proudu harmonických (zařízení se vstupním fázovým proudem &lt;= 16 A).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6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env-02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ČSN EN 61000-3-3: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Elektromagnetická kompatibilita (EMC) - Část 3-3: Meze - Omezování změn napětí, kolísání napětí a flikru v rozvodných sítích nízkého napětí pro zařízení se jmenovitým fázovým proudem &lt;= 16 A, které není předmětem podmíněného připojení.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19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env-03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ČSN EN 300386: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Elektromagnetická kompatibilita a rádiové spektrum (ERM) - Zařízení telekomunikační sítě - Požadavky na elektromagnetickou kompatibilitu (EMC).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env-06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ČSN EN IEC 62368: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Zařízení informační technologie - Bezpečnost - Část 1: Všeobecné požadavky.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163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Obecná bezpečnost: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sec-gen-01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Veškeré použité techniky pro šifrování dat a pro distribuci a správu šifrovacích klíčů musí splňovat platné minimální požadavky na kryptografické algoritmy, použité v kryptografických prostředcích, stanovené NÚKIB (viz https://nukib.gov.cz/download/publikace/podpurne_materialy/Minimalni_pozadavky_v4_FINAL.pdf v platném znění):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Předpokládá se využití na odkazu definovaných verzí bezpečných kryptografických algoritmů s výjimkou síťových protokolů, pro které v RFC ještě neexistuje definovaná dostatečně bezpečná alternativa a tudíž ani neexistuje implementace v síťových komponentech jednotlivých výrobců. V těchto případech je zatím akceptována podpora a používání nejvyšší verze kryptografických algoritmů, definované v RFC (viz. např. podporované verze hash v protokolech OSPF, BGP, apod.).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35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sec-gen-06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Podpora šifrovaných/autentizovaných komunikací na CPU - Control a management plane protokoly umožňují a přednostně používají šifrovanou, příp. autentizovanou, komunikaci: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Např. SSH, SNMPv3, IS-IS/OSPF s autentizací apod.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6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sec-gen-07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Rozhraní (Ethernet, USB, RS-232, atd.) musí být možné správcovsky deaktivovat minimálně na úrovní systému: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Ethernet rozhraní musí být možné deaktivovat i "elektricky".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515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Aktualizace firmware: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sec-upg-01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Všechny komponenty základního systému musí být záplatovatelné a aktualizovatelné. Dodavatel je povinen poskytnout dostatečně bezpečné metody pro ověření a kontrolu integrity aktualizačních balíčků (např. kontrolní součty SHA-2 nebo balíčky podepsané certifikátem):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Podpora opravných OS a SW releases pro fix možných "BUGů".</w:t>
            </w:r>
            <w:r w:rsidRPr="00211790">
              <w:rPr>
                <w:sz w:val="20"/>
                <w:szCs w:val="20"/>
              </w:rPr>
              <w:br/>
              <w:t>Podpora "Checksum" pro každý dostupný OS a SW release.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634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sec-upg-02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 firmware a software musí být přijata dostatečná bezpečnostní opatření, aby byla zajištěna celková softwarová integrita (není možné neoprávněně změnit zdrojový kód software):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Podpora ověření integrity firmware a software před spuštěním.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21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sec-upg-04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 stažení aktualizací je nutné využívat zabezpečenou verzi protokolů: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Např. sftp, scp, apod.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93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sec-upg-05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Musí být implementována funkce návratu do stavu před provedením upgradu (downgrade function nebo možnost výběru verze původní OS):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"rollback" OS verze po provedení upgrade. Musí existovat minimálně postup pro provedení downgrade.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388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AAA: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Síťové přihlášení k management plane musí být možné omezit na zdrojovou IP adresu nebo IP rozsah: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65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Veškerým aktivitám interagujícím s control a management plane musí předcházet jednoznačná autentizace a autorizace: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86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Systémy musí podporovat správu účtů (zakládaní a rušení), správu oprávnění účtů (například právo zapisovat i číst anebo jen číst konfiguraci):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Konfigurovatelné "user acounts" s možností definice práv RBAC.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19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Heslo uživatelů/správců nesmí být nikdy zobrazeno jako prostý text: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41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Systémy musí umožnovat změnu hesla pro uživatele. Změna hesla musí být možná pro všechny uživatele: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21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Systém nesmí obsahovat neměnitelné účty nebo fixní servisní účty. Pokud takové účty jsou vyžadovány z provozního hlediska, nesmí umožňovat neoprávněný přístup anebo musí umožňovat autentizaci v souladu s dalšími bezpečnostními požadavky včetně možnosti změny hesla: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47"/>
        </w:trPr>
        <w:tc>
          <w:tcPr>
            <w:tcW w:w="1134" w:type="dxa"/>
            <w:vMerge/>
            <w:tcBorders>
              <w:lef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sec-aaa-12</w:t>
            </w:r>
          </w:p>
        </w:tc>
        <w:tc>
          <w:tcPr>
            <w:tcW w:w="2033" w:type="dxa"/>
            <w:tcBorders>
              <w:lef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Systém nesmí být možné vypnout vzdáleně bez přihlášení:</w:t>
            </w:r>
          </w:p>
        </w:tc>
        <w:tc>
          <w:tcPr>
            <w:tcW w:w="3375" w:type="dxa"/>
            <w:tcBorders>
              <w:lef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Nejprve musí proběhnout úspěšná autentizace a autorizace.</w:t>
            </w:r>
          </w:p>
        </w:tc>
        <w:tc>
          <w:tcPr>
            <w:tcW w:w="1078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</w:tbl>
    <w:p w:rsidR="002E6C6B" w:rsidRDefault="002E6C6B" w:rsidP="002E6C6B">
      <w:pPr>
        <w:spacing w:after="120" w:line="276" w:lineRule="auto"/>
        <w:ind w:left="567"/>
        <w:jc w:val="both"/>
      </w:pPr>
    </w:p>
    <w:sectPr w:rsidR="002E6C6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77" w:rsidRDefault="00941377" w:rsidP="00506166">
      <w:r>
        <w:separator/>
      </w:r>
    </w:p>
  </w:endnote>
  <w:endnote w:type="continuationSeparator" w:id="0">
    <w:p w:rsidR="00941377" w:rsidRDefault="00941377" w:rsidP="0050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77" w:rsidRDefault="00941377" w:rsidP="00506166">
      <w:r>
        <w:separator/>
      </w:r>
    </w:p>
  </w:footnote>
  <w:footnote w:type="continuationSeparator" w:id="0">
    <w:p w:rsidR="00941377" w:rsidRDefault="00941377" w:rsidP="0050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C6B" w:rsidRDefault="002E6C6B" w:rsidP="00506166">
    <w:pPr>
      <w:pStyle w:val="Zhlav"/>
      <w:jc w:val="right"/>
    </w:pPr>
    <w:r>
      <w:t>Příloha č. 1 ke Kupní smlouvě</w:t>
    </w:r>
  </w:p>
  <w:p w:rsidR="002E6C6B" w:rsidRDefault="002E6C6B" w:rsidP="00506166">
    <w:pPr>
      <w:pStyle w:val="Zhlav"/>
      <w:jc w:val="right"/>
    </w:pPr>
    <w:r>
      <w:t xml:space="preserve">Specifikace </w:t>
    </w:r>
    <w:r w:rsidR="00A123F9">
      <w:t>Routerů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66"/>
    <w:rsid w:val="000041F4"/>
    <w:rsid w:val="000562AB"/>
    <w:rsid w:val="000673DA"/>
    <w:rsid w:val="002D7393"/>
    <w:rsid w:val="002E6C6B"/>
    <w:rsid w:val="00506166"/>
    <w:rsid w:val="00851DFC"/>
    <w:rsid w:val="00941377"/>
    <w:rsid w:val="009C3220"/>
    <w:rsid w:val="00A123F9"/>
    <w:rsid w:val="00E573C1"/>
    <w:rsid w:val="00EB2736"/>
    <w:rsid w:val="00F1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B129C-772F-49E4-BB64-92F8F583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061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616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1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616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1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2202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6</cp:revision>
  <dcterms:created xsi:type="dcterms:W3CDTF">2025-10-29T15:53:00Z</dcterms:created>
  <dcterms:modified xsi:type="dcterms:W3CDTF">2026-01-06T14:06:00Z</dcterms:modified>
</cp:coreProperties>
</file>