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3D" w:rsidRPr="00C32557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</w:pPr>
      <w:r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:rsidR="00DF0E3D" w:rsidRPr="00C32557" w:rsidRDefault="00DF0E3D" w:rsidP="0054326F">
      <w:pPr>
        <w:spacing w:line="240" w:lineRule="exact"/>
        <w:ind w:left="-709"/>
        <w:jc w:val="center"/>
        <w:rPr>
          <w:rFonts w:ascii="Cambria" w:eastAsia="Arial" w:hAnsi="Cambria" w:cs="Times New Roman"/>
          <w:b/>
          <w:color w:val="00000A"/>
          <w:sz w:val="28"/>
          <w:shd w:val="clear" w:color="auto" w:fill="FFFFFF"/>
        </w:rPr>
      </w:pPr>
    </w:p>
    <w:p w:rsidR="00903C8F" w:rsidRPr="00C32557" w:rsidRDefault="00903C8F" w:rsidP="00903C8F">
      <w:pPr>
        <w:pStyle w:val="Default"/>
        <w:rPr>
          <w:rFonts w:eastAsia="Arial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:rsidR="00150044" w:rsidRDefault="00721EBB" w:rsidP="001A18F6">
      <w:pPr>
        <w:pStyle w:val="Default"/>
        <w:ind w:left="-567"/>
        <w:jc w:val="center"/>
        <w:rPr>
          <w:b/>
          <w:bCs/>
          <w:i/>
          <w:iCs/>
          <w:sz w:val="32"/>
          <w:szCs w:val="32"/>
        </w:rPr>
      </w:pPr>
      <w:r w:rsidRPr="00721EBB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„</w:t>
      </w:r>
      <w:r w:rsidR="001A18F6" w:rsidRPr="001A18F6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Zavedení prvků cirkulárního hospodářství ve společnosti PROMONT Uherské Hradiště s.r.o. – kontinuální míchač s periferiemi</w:t>
      </w:r>
      <w:r w:rsidR="00903C8F" w:rsidRPr="00721EBB">
        <w:rPr>
          <w:b/>
          <w:bCs/>
          <w:i/>
          <w:iCs/>
          <w:sz w:val="32"/>
          <w:szCs w:val="32"/>
        </w:rPr>
        <w:t>“</w:t>
      </w:r>
    </w:p>
    <w:p w:rsidR="001A18F6" w:rsidRPr="00721EBB" w:rsidRDefault="001A18F6" w:rsidP="001A18F6">
      <w:pPr>
        <w:pStyle w:val="Default"/>
        <w:ind w:left="-567"/>
        <w:jc w:val="center"/>
        <w:rPr>
          <w:b/>
          <w:bCs/>
          <w:i/>
          <w:iCs/>
          <w:sz w:val="32"/>
          <w:szCs w:val="32"/>
        </w:rPr>
      </w:pPr>
    </w:p>
    <w:p w:rsidR="003155DA" w:rsidRPr="00C32557" w:rsidRDefault="003155DA" w:rsidP="00AE6897">
      <w:pPr>
        <w:pStyle w:val="Default"/>
        <w:jc w:val="center"/>
        <w:rPr>
          <w:szCs w:val="28"/>
        </w:rPr>
      </w:pPr>
    </w:p>
    <w:p w:rsidR="009C0870" w:rsidRPr="009929AB" w:rsidRDefault="009C0870" w:rsidP="009C0870">
      <w:pPr>
        <w:pStyle w:val="Smlouva"/>
        <w:rPr>
          <w:rFonts w:ascii="Cambria" w:hAnsi="Cambria" w:cs="Cambria"/>
          <w:color w:val="auto"/>
          <w:sz w:val="32"/>
        </w:rPr>
      </w:pPr>
      <w:r w:rsidRPr="009929AB">
        <w:rPr>
          <w:rFonts w:ascii="Cambria" w:hAnsi="Cambria" w:cs="Cambria"/>
          <w:color w:val="auto"/>
          <w:sz w:val="32"/>
        </w:rPr>
        <w:t>Tabulka Specifikace předmětu plnění</w:t>
      </w:r>
    </w:p>
    <w:p w:rsidR="004B6C32" w:rsidRPr="00C32557" w:rsidRDefault="004B6C32" w:rsidP="004B6C32">
      <w:pPr>
        <w:jc w:val="both"/>
        <w:rPr>
          <w:rFonts w:ascii="Cambria" w:hAnsi="Cambria"/>
          <w:sz w:val="22"/>
          <w:szCs w:val="22"/>
        </w:rPr>
      </w:pPr>
      <w:r w:rsidRPr="00C32557"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:rsidR="004B6C32" w:rsidRPr="00C32557" w:rsidRDefault="004B6C32" w:rsidP="004B6C32">
      <w:pPr>
        <w:jc w:val="both"/>
        <w:rPr>
          <w:rFonts w:ascii="Cambria" w:hAnsi="Cambria"/>
          <w:sz w:val="22"/>
          <w:szCs w:val="22"/>
        </w:rPr>
      </w:pPr>
    </w:p>
    <w:p w:rsidR="004B6C32" w:rsidRPr="00C32557" w:rsidRDefault="004B6C32" w:rsidP="00C32557">
      <w:pPr>
        <w:spacing w:after="120"/>
        <w:jc w:val="both"/>
        <w:rPr>
          <w:rFonts w:ascii="Cambria" w:hAnsi="Cambria"/>
          <w:b/>
          <w:sz w:val="22"/>
          <w:szCs w:val="22"/>
        </w:rPr>
      </w:pPr>
      <w:r w:rsidRPr="00C32557">
        <w:rPr>
          <w:rFonts w:ascii="Cambria" w:hAnsi="Cambria"/>
          <w:b/>
          <w:sz w:val="22"/>
          <w:szCs w:val="22"/>
        </w:rPr>
        <w:t xml:space="preserve">Jedná se o dodávku 1 ks </w:t>
      </w:r>
      <w:r w:rsidR="003757C3" w:rsidRPr="003757C3">
        <w:rPr>
          <w:rFonts w:ascii="Cambria" w:hAnsi="Cambria"/>
          <w:b/>
          <w:sz w:val="22"/>
          <w:szCs w:val="22"/>
        </w:rPr>
        <w:t>nového a nepoužitého kontinuálního míchače (betonárna) s periferiemi (cementové silo + formy na bloky)</w:t>
      </w:r>
      <w:r w:rsidR="009929AB">
        <w:rPr>
          <w:rFonts w:ascii="Cambria" w:hAnsi="Cambria"/>
          <w:b/>
          <w:sz w:val="22"/>
          <w:szCs w:val="22"/>
        </w:rPr>
        <w:t>.</w:t>
      </w:r>
    </w:p>
    <w:tbl>
      <w:tblPr>
        <w:tblW w:w="0" w:type="auto"/>
        <w:tblInd w:w="-65" w:type="dxa"/>
        <w:tblLayout w:type="fixed"/>
        <w:tblLook w:val="0000"/>
      </w:tblPr>
      <w:tblGrid>
        <w:gridCol w:w="3292"/>
        <w:gridCol w:w="3260"/>
        <w:gridCol w:w="1134"/>
        <w:gridCol w:w="1731"/>
      </w:tblGrid>
      <w:tr w:rsidR="009C0870" w:rsidRPr="00C32557" w:rsidTr="009C0870">
        <w:trPr>
          <w:trHeight w:val="839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9C0870" w:rsidRPr="00C32557" w:rsidRDefault="003757C3" w:rsidP="003155DA">
            <w:pPr>
              <w:autoSpaceDE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36"/>
                <w:szCs w:val="22"/>
              </w:rPr>
              <w:t>Kontinuální</w:t>
            </w:r>
            <w:r w:rsidRPr="003757C3">
              <w:rPr>
                <w:rFonts w:ascii="Cambria" w:hAnsi="Cambria"/>
                <w:b/>
                <w:sz w:val="36"/>
                <w:szCs w:val="22"/>
              </w:rPr>
              <w:t xml:space="preserve"> míchač</w:t>
            </w:r>
            <w:r>
              <w:rPr>
                <w:rFonts w:ascii="Cambria" w:hAnsi="Cambria"/>
                <w:b/>
                <w:sz w:val="36"/>
                <w:szCs w:val="22"/>
              </w:rPr>
              <w:t xml:space="preserve"> s periferiemi</w:t>
            </w:r>
          </w:p>
        </w:tc>
      </w:tr>
      <w:tr w:rsidR="009C0870" w:rsidRPr="00C32557" w:rsidTr="00B936A1">
        <w:trPr>
          <w:trHeight w:val="817"/>
        </w:trPr>
        <w:tc>
          <w:tcPr>
            <w:tcW w:w="32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C0870" w:rsidRPr="00C32557" w:rsidRDefault="009C0870" w:rsidP="009929AB">
            <w:pPr>
              <w:autoSpaceDE w:val="0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612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870" w:rsidRPr="00C32557" w:rsidRDefault="00FC6CB6" w:rsidP="009929AB">
            <w:pPr>
              <w:autoSpaceDE w:val="0"/>
              <w:jc w:val="center"/>
              <w:rPr>
                <w:rFonts w:ascii="Cambria" w:hAnsi="Cambria"/>
              </w:rPr>
            </w:pPr>
            <w:fldSimple w:instr="">
              <w:r w:rsidR="009C0870" w:rsidRPr="00C32557">
                <w:rPr>
                  <w:rFonts w:ascii="Cambria" w:eastAsia="Times New Roman" w:hAnsi="Cambria"/>
                  <w:sz w:val="22"/>
                  <w:szCs w:val="22"/>
                  <w:highlight w:val="yellow"/>
                  <w:lang w:eastAsia="cs-CZ"/>
                </w:rPr>
                <w:t>   Mobilní hru</w:t>
              </w:r>
              <w:r w:rsidR="009C0870" w:rsidRPr="00C32557">
                <w:rPr>
                  <w:rFonts w:ascii="Cambria" w:hAnsi="Cambria"/>
                  <w:sz w:val="22"/>
                  <w:szCs w:val="22"/>
                  <w:highlight w:val="yellow"/>
                  <w:lang w:eastAsia="cs-CZ"/>
                </w:rPr>
                <w:t>botřídič  </w:t>
              </w:r>
            </w:fldSimple>
            <w:r w:rsidR="009C0870" w:rsidRPr="00C32557">
              <w:rPr>
                <w:rFonts w:ascii="Cambria" w:hAnsi="Cambria"/>
                <w:highlight w:val="yellow"/>
              </w:rPr>
              <w:t>…………….</w:t>
            </w:r>
          </w:p>
        </w:tc>
      </w:tr>
      <w:tr w:rsidR="009C0870" w:rsidRPr="00C32557" w:rsidTr="0014148C">
        <w:trPr>
          <w:trHeight w:val="381"/>
        </w:trPr>
        <w:tc>
          <w:tcPr>
            <w:tcW w:w="32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C0870" w:rsidRPr="00C32557" w:rsidRDefault="009C0870" w:rsidP="009929AB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Zadání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C0870" w:rsidRPr="00C32557" w:rsidRDefault="009C0870" w:rsidP="009929AB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C0870" w:rsidRPr="00C32557" w:rsidRDefault="009C0870" w:rsidP="009929AB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0870" w:rsidRPr="00C32557" w:rsidRDefault="009C0870" w:rsidP="009929AB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A90A9C" w:rsidRPr="00C32557" w:rsidTr="0014148C">
        <w:trPr>
          <w:trHeight w:val="517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3757C3" w:rsidP="00944653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Výkon míchání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3757C3" w:rsidP="00C32557">
            <w:pPr>
              <w:pStyle w:val="Odstavecseseznamem1"/>
              <w:ind w:left="0"/>
              <w:contextualSpacing/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min. 70 m</w:t>
            </w:r>
            <w:r w:rsidRPr="00632B89">
              <w:rPr>
                <w:rFonts w:asciiTheme="majorHAnsi" w:hAnsiTheme="majorHAnsi"/>
                <w:sz w:val="22"/>
                <w:szCs w:val="22"/>
                <w:vertAlign w:val="superscript"/>
              </w:rPr>
              <w:t>3</w:t>
            </w:r>
            <w:r w:rsidRPr="00632B89">
              <w:rPr>
                <w:rFonts w:asciiTheme="majorHAnsi" w:hAnsiTheme="majorHAnsi"/>
                <w:sz w:val="22"/>
                <w:szCs w:val="22"/>
              </w:rPr>
              <w:t>/hod s cementem při dávkování min. 320kg/1m</w:t>
            </w:r>
            <w:r w:rsidRPr="00632B89">
              <w:rPr>
                <w:rFonts w:asciiTheme="majorHAnsi" w:hAnsiTheme="majorHAnsi"/>
                <w:sz w:val="22"/>
                <w:szCs w:val="22"/>
                <w:vertAlign w:val="superscript"/>
              </w:rPr>
              <w:t>3</w:t>
            </w:r>
            <w:r w:rsidRPr="00632B89">
              <w:rPr>
                <w:rFonts w:asciiTheme="majorHAnsi" w:hAnsiTheme="majorHAnsi"/>
                <w:sz w:val="22"/>
                <w:szCs w:val="22"/>
              </w:rPr>
              <w:t xml:space="preserve"> betonu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C32557">
            <w:pPr>
              <w:jc w:val="center"/>
              <w:rPr>
                <w:rFonts w:ascii="Cambria" w:hAnsi="Cambria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17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3757C3" w:rsidP="00944653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Míchací zařízení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3757C3" w:rsidP="00647E0C">
            <w:pPr>
              <w:pStyle w:val="Odstavecseseznamem1"/>
              <w:ind w:left="0"/>
              <w:contextualSpacing/>
              <w:jc w:val="center"/>
              <w:rPr>
                <w:rFonts w:asciiTheme="majorHAnsi" w:hAnsiTheme="majorHAnsi"/>
              </w:rPr>
            </w:pPr>
            <w:proofErr w:type="spellStart"/>
            <w:r w:rsidRPr="00632B89">
              <w:rPr>
                <w:rFonts w:asciiTheme="majorHAnsi" w:hAnsiTheme="majorHAnsi"/>
                <w:sz w:val="22"/>
                <w:szCs w:val="22"/>
              </w:rPr>
              <w:t>Dvouhřídelová</w:t>
            </w:r>
            <w:proofErr w:type="spellEnd"/>
            <w:r w:rsidRPr="00632B89">
              <w:rPr>
                <w:rFonts w:asciiTheme="majorHAnsi" w:hAnsiTheme="majorHAnsi"/>
                <w:sz w:val="22"/>
                <w:szCs w:val="22"/>
              </w:rPr>
              <w:t xml:space="preserve"> lopatková míchačka, lopatky z</w:t>
            </w:r>
            <w:r w:rsidR="00647E0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47E0C" w:rsidRPr="00647E0C">
              <w:rPr>
                <w:rFonts w:asciiTheme="majorHAnsi" w:hAnsiTheme="majorHAnsi"/>
                <w:sz w:val="22"/>
                <w:szCs w:val="22"/>
              </w:rPr>
              <w:t xml:space="preserve">lopatky z </w:t>
            </w:r>
            <w:proofErr w:type="spellStart"/>
            <w:r w:rsidR="00647E0C" w:rsidRPr="00647E0C">
              <w:rPr>
                <w:rFonts w:asciiTheme="majorHAnsi" w:hAnsiTheme="majorHAnsi"/>
                <w:sz w:val="22"/>
                <w:szCs w:val="22"/>
              </w:rPr>
              <w:lastRenderedPageBreak/>
              <w:t>otěruvzdorné</w:t>
            </w:r>
            <w:proofErr w:type="spellEnd"/>
            <w:r w:rsidR="00647E0C" w:rsidRPr="00647E0C">
              <w:rPr>
                <w:rFonts w:asciiTheme="majorHAnsi" w:hAnsiTheme="majorHAnsi"/>
                <w:sz w:val="22"/>
                <w:szCs w:val="22"/>
              </w:rPr>
              <w:t xml:space="preserve"> oceli s tvrdostí min. 400 HBW nebo technicky rovnocenného materiálu</w:t>
            </w:r>
            <w:r w:rsidRPr="00632B8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721EBB">
            <w:pPr>
              <w:jc w:val="center"/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lastRenderedPageBreak/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17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3757C3" w:rsidP="00944653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Automatizace / </w:t>
            </w:r>
            <w:proofErr w:type="gramStart"/>
            <w:r w:rsidRPr="00632B89">
              <w:rPr>
                <w:rFonts w:asciiTheme="majorHAnsi" w:hAnsiTheme="majorHAnsi"/>
                <w:sz w:val="22"/>
                <w:szCs w:val="22"/>
              </w:rPr>
              <w:t>Řídící</w:t>
            </w:r>
            <w:proofErr w:type="gramEnd"/>
            <w:r w:rsidRPr="00632B89">
              <w:rPr>
                <w:rFonts w:asciiTheme="majorHAnsi" w:hAnsiTheme="majorHAnsi"/>
                <w:sz w:val="22"/>
                <w:szCs w:val="22"/>
              </w:rPr>
              <w:t xml:space="preserve"> systém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89" w:rsidRPr="00632B89" w:rsidRDefault="00632B89" w:rsidP="00632B89">
            <w:pPr>
              <w:pStyle w:val="Odstavecseseznamem1"/>
              <w:ind w:left="34"/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automatizace</w:t>
            </w:r>
          </w:p>
          <w:p w:rsidR="00A90A9C" w:rsidRPr="00632B89" w:rsidRDefault="00632B89" w:rsidP="00632B89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 xml:space="preserve">ovládací panel s automatizačním softwarem. Správa receptur, kameniva a obsluhy s automatickým ovládáním stroje pro kontinuální dávkování komponentů podle receptury a rychlosti výroby. Chronologie produkce v paměti pro </w:t>
            </w:r>
            <w:proofErr w:type="spellStart"/>
            <w:r w:rsidRPr="00632B89">
              <w:rPr>
                <w:rFonts w:asciiTheme="majorHAnsi" w:hAnsiTheme="majorHAnsi"/>
                <w:sz w:val="22"/>
                <w:szCs w:val="22"/>
              </w:rPr>
              <w:t>dohledatelnost</w:t>
            </w:r>
            <w:proofErr w:type="spellEnd"/>
            <w:r w:rsidRPr="00632B89">
              <w:rPr>
                <w:rFonts w:asciiTheme="majorHAnsi" w:hAnsiTheme="majorHAnsi"/>
                <w:sz w:val="22"/>
                <w:szCs w:val="22"/>
              </w:rPr>
              <w:t xml:space="preserve"> a kontrolu kvality.  Třída ochrany: IP67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721EBB">
            <w:pPr>
              <w:jc w:val="center"/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17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3757C3" w:rsidP="00944653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proofErr w:type="spellStart"/>
            <w:r w:rsidRPr="00632B89">
              <w:rPr>
                <w:rFonts w:asciiTheme="majorHAnsi" w:hAnsiTheme="majorHAnsi"/>
                <w:sz w:val="22"/>
                <w:szCs w:val="22"/>
              </w:rPr>
              <w:t>Dvouhřídelový</w:t>
            </w:r>
            <w:proofErr w:type="spellEnd"/>
            <w:r w:rsidRPr="00632B89">
              <w:rPr>
                <w:rFonts w:asciiTheme="majorHAnsi" w:hAnsiTheme="majorHAnsi"/>
                <w:sz w:val="22"/>
                <w:szCs w:val="22"/>
              </w:rPr>
              <w:t xml:space="preserve"> lopatkový míchač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3757C3" w:rsidP="00647E0C">
            <w:pPr>
              <w:pStyle w:val="Odstavecseseznamem1"/>
              <w:ind w:left="0"/>
              <w:contextualSpacing/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 xml:space="preserve">Kontinuální </w:t>
            </w:r>
            <w:proofErr w:type="spellStart"/>
            <w:r w:rsidRPr="00632B89">
              <w:rPr>
                <w:rFonts w:asciiTheme="majorHAnsi" w:hAnsiTheme="majorHAnsi"/>
                <w:sz w:val="22"/>
                <w:szCs w:val="22"/>
              </w:rPr>
              <w:t>dvouhřídelový</w:t>
            </w:r>
            <w:proofErr w:type="spellEnd"/>
            <w:r w:rsidRPr="00632B89">
              <w:rPr>
                <w:rFonts w:asciiTheme="majorHAnsi" w:hAnsiTheme="majorHAnsi"/>
                <w:sz w:val="22"/>
                <w:szCs w:val="22"/>
              </w:rPr>
              <w:t xml:space="preserve"> mixér - </w:t>
            </w:r>
            <w:r w:rsidR="00647E0C" w:rsidRPr="00647E0C">
              <w:rPr>
                <w:rFonts w:asciiTheme="majorHAnsi" w:hAnsiTheme="majorHAnsi"/>
                <w:sz w:val="22"/>
                <w:szCs w:val="22"/>
              </w:rPr>
              <w:t xml:space="preserve">lopatky z </w:t>
            </w:r>
            <w:proofErr w:type="spellStart"/>
            <w:r w:rsidR="00647E0C" w:rsidRPr="00647E0C">
              <w:rPr>
                <w:rFonts w:asciiTheme="majorHAnsi" w:hAnsiTheme="majorHAnsi"/>
                <w:sz w:val="22"/>
                <w:szCs w:val="22"/>
              </w:rPr>
              <w:t>otěruvzdorné</w:t>
            </w:r>
            <w:proofErr w:type="spellEnd"/>
            <w:r w:rsidR="00647E0C" w:rsidRPr="00647E0C">
              <w:rPr>
                <w:rFonts w:asciiTheme="majorHAnsi" w:hAnsiTheme="majorHAnsi"/>
                <w:sz w:val="22"/>
                <w:szCs w:val="22"/>
              </w:rPr>
              <w:t xml:space="preserve"> oceli s tvrdostí min. 400 HBW nebo technicky rovnocenného materiálu</w:t>
            </w:r>
            <w:r w:rsidRPr="00632B8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721EBB">
            <w:pPr>
              <w:jc w:val="center"/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17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3757C3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Cementový zásobník na míchacím zařízení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7C3" w:rsidRPr="00632B89" w:rsidRDefault="003757C3" w:rsidP="003757C3">
            <w:pPr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Cementové silo o objemu min. 3,0 m3 s dávkovacím šnekem. Tenzometry pro měření úbytku hmotnosti.</w:t>
            </w:r>
          </w:p>
          <w:p w:rsidR="00A90A9C" w:rsidRPr="00632B89" w:rsidRDefault="003757C3" w:rsidP="003757C3">
            <w:pPr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Rozsah dávkování 30-600 kg/min, automaticky řízené podle receptury.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C32557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17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3757C3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Vodní čerpadlo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B38" w:rsidRPr="00632B89" w:rsidRDefault="00671B38" w:rsidP="00671B38">
            <w:pPr>
              <w:pStyle w:val="Odstavecseseznamem1"/>
              <w:ind w:left="0"/>
              <w:contextualSpacing/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Včetně nádrže na vodu s připojením pro plnění s plovákovým ventilem.</w:t>
            </w:r>
          </w:p>
          <w:p w:rsidR="00A90A9C" w:rsidRPr="00632B89" w:rsidRDefault="00671B38" w:rsidP="00671B38">
            <w:pPr>
              <w:pStyle w:val="Odstavecseseznamem1"/>
              <w:ind w:left="0"/>
              <w:contextualSpacing/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Rozsah dávkování 20-350 l/min, řízeno elektronikou dle receptury.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C32557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481"/>
        </w:trPr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944653">
            <w:pPr>
              <w:pStyle w:val="Odstavecseseznamem2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 xml:space="preserve">Motory - </w:t>
            </w:r>
            <w:proofErr w:type="spellStart"/>
            <w:r w:rsidRPr="00632B89">
              <w:rPr>
                <w:rFonts w:asciiTheme="majorHAnsi" w:hAnsiTheme="majorHAnsi"/>
                <w:sz w:val="22"/>
                <w:szCs w:val="22"/>
              </w:rPr>
              <w:t>Elektro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C32557">
            <w:pPr>
              <w:pStyle w:val="Odstavecseseznamem2"/>
              <w:ind w:left="0"/>
              <w:contextualSpacing/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 xml:space="preserve">Motory - </w:t>
            </w:r>
            <w:proofErr w:type="spellStart"/>
            <w:r w:rsidRPr="00632B89">
              <w:rPr>
                <w:rFonts w:asciiTheme="majorHAnsi" w:hAnsiTheme="majorHAnsi"/>
                <w:sz w:val="22"/>
                <w:szCs w:val="22"/>
              </w:rPr>
              <w:t>Elektro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C32557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17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9929AB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proofErr w:type="spellStart"/>
            <w:r w:rsidRPr="00632B89">
              <w:rPr>
                <w:rFonts w:asciiTheme="majorHAnsi" w:hAnsiTheme="majorHAnsi"/>
                <w:sz w:val="22"/>
                <w:szCs w:val="22"/>
              </w:rPr>
              <w:t>Vyprazďovací</w:t>
            </w:r>
            <w:proofErr w:type="spellEnd"/>
            <w:r w:rsidRPr="00632B89">
              <w:rPr>
                <w:rFonts w:asciiTheme="majorHAnsi" w:hAnsiTheme="majorHAnsi"/>
                <w:sz w:val="22"/>
                <w:szCs w:val="22"/>
              </w:rPr>
              <w:t xml:space="preserve"> pás do domíchávačů/</w:t>
            </w:r>
            <w:proofErr w:type="spellStart"/>
            <w:r w:rsidRPr="00632B89">
              <w:rPr>
                <w:rFonts w:asciiTheme="majorHAnsi" w:hAnsiTheme="majorHAnsi"/>
                <w:sz w:val="22"/>
                <w:szCs w:val="22"/>
              </w:rPr>
              <w:t>nákl.vozidel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C32557">
            <w:pPr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Zvedání/spouštění/nastavitelné od 500 do 4 100 mm výšky vyprázdnění.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C32557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427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A9C" w:rsidRPr="00632B89" w:rsidRDefault="00671B38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 xml:space="preserve">Otočný </w:t>
            </w:r>
            <w:proofErr w:type="spellStart"/>
            <w:r w:rsidRPr="00632B89">
              <w:rPr>
                <w:rFonts w:asciiTheme="majorHAnsi" w:hAnsiTheme="majorHAnsi"/>
                <w:sz w:val="22"/>
                <w:szCs w:val="22"/>
              </w:rPr>
              <w:t>vyprazdňovací</w:t>
            </w:r>
            <w:proofErr w:type="spellEnd"/>
            <w:r w:rsidRPr="00632B89">
              <w:rPr>
                <w:rFonts w:asciiTheme="majorHAnsi" w:hAnsiTheme="majorHAnsi"/>
                <w:sz w:val="22"/>
                <w:szCs w:val="22"/>
              </w:rPr>
              <w:t xml:space="preserve"> hydraulický pás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A9C" w:rsidRPr="00632B89" w:rsidRDefault="00671B38" w:rsidP="00CB79D9">
            <w:pPr>
              <w:pStyle w:val="Odstavecseseznamem1"/>
              <w:ind w:left="0"/>
              <w:contextualSpacing/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Možnost pohybu - hydraulické natáčení pásu pro polohování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A9C" w:rsidRPr="00632B89" w:rsidRDefault="00A90A9C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64"/>
        </w:trPr>
        <w:tc>
          <w:tcPr>
            <w:tcW w:w="3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Zásobníky/násypky kameniva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671B38">
            <w:pPr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3 x s minim</w:t>
            </w:r>
            <w:r w:rsidR="00632B89">
              <w:rPr>
                <w:rFonts w:asciiTheme="majorHAnsi" w:hAnsiTheme="majorHAnsi"/>
                <w:sz w:val="22"/>
                <w:szCs w:val="22"/>
              </w:rPr>
              <w:t xml:space="preserve">álním </w:t>
            </w:r>
            <w:r w:rsidRPr="00632B89">
              <w:rPr>
                <w:rFonts w:asciiTheme="majorHAnsi" w:hAnsiTheme="majorHAnsi"/>
                <w:sz w:val="22"/>
                <w:szCs w:val="22"/>
              </w:rPr>
              <w:t>objemem 7m</w:t>
            </w:r>
            <w:r w:rsidRPr="00632B89">
              <w:rPr>
                <w:rFonts w:asciiTheme="majorHAnsi" w:hAnsiTheme="majorHAnsi"/>
                <w:sz w:val="22"/>
                <w:szCs w:val="22"/>
                <w:vertAlign w:val="superscript"/>
              </w:rPr>
              <w:t>3</w:t>
            </w:r>
            <w:r w:rsidRPr="00632B89">
              <w:rPr>
                <w:rFonts w:asciiTheme="majorHAnsi" w:hAnsiTheme="majorHAnsi"/>
                <w:sz w:val="22"/>
                <w:szCs w:val="22"/>
              </w:rPr>
              <w:t xml:space="preserve"> (celkově 21m</w:t>
            </w:r>
            <w:r w:rsidRPr="00632B89">
              <w:rPr>
                <w:rFonts w:asciiTheme="majorHAnsi" w:hAnsiTheme="majorHAnsi"/>
                <w:sz w:val="22"/>
                <w:szCs w:val="22"/>
                <w:vertAlign w:val="superscript"/>
              </w:rPr>
              <w:t>3</w:t>
            </w:r>
            <w:r w:rsidRPr="00632B89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17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Vážící systém kameniva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B38" w:rsidRPr="00632B89" w:rsidRDefault="00671B38" w:rsidP="00671B38">
            <w:pPr>
              <w:pStyle w:val="Odstavecseseznamem1"/>
              <w:ind w:left="34"/>
              <w:contextualSpacing/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Vážení na každé jednotlivé násypce se snímači hmotnosti pro měření úbytku hmotnosti.</w:t>
            </w:r>
          </w:p>
          <w:p w:rsidR="00A90A9C" w:rsidRPr="00632B89" w:rsidRDefault="00671B38" w:rsidP="00671B38">
            <w:pPr>
              <w:pStyle w:val="Odstavecseseznamem1"/>
              <w:ind w:left="0"/>
              <w:contextualSpacing/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lastRenderedPageBreak/>
              <w:t>řízeno elektronikou dle receptury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lastRenderedPageBreak/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17"/>
        </w:trPr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lastRenderedPageBreak/>
              <w:t>Sonda vlhkosti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CB79D9">
            <w:pPr>
              <w:pStyle w:val="Odstavecseseznamem1"/>
              <w:ind w:left="0"/>
              <w:contextualSpacing/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1 x Vlhkostní sonda pro kamenivo pro automatickou korekci dávkování vody měření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CB79D9">
            <w:pPr>
              <w:snapToGrid w:val="0"/>
              <w:jc w:val="center"/>
              <w:rPr>
                <w:rFonts w:ascii="Cambria" w:hAnsi="Cambria" w:cs="Times New Roman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17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Bezpečnostní rošt na násypku pro kamenivo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CB79D9">
            <w:pPr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3x Bezpečnostní mřížka s okem 100x100 mm, aby se do násypky nedostaly předměty, které by mohly poškodit pás/pásy nebo příliš velké materiály, které by mohly poškodit míchačku.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10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proofErr w:type="spellStart"/>
            <w:r w:rsidRPr="00632B89">
              <w:rPr>
                <w:rFonts w:asciiTheme="majorHAnsi" w:hAnsiTheme="majorHAnsi"/>
                <w:sz w:val="22"/>
                <w:szCs w:val="22"/>
              </w:rPr>
              <w:t>Anti</w:t>
            </w:r>
            <w:proofErr w:type="spellEnd"/>
            <w:r w:rsidRPr="00632B89">
              <w:rPr>
                <w:rFonts w:asciiTheme="majorHAnsi" w:hAnsiTheme="majorHAnsi"/>
                <w:sz w:val="22"/>
                <w:szCs w:val="22"/>
              </w:rPr>
              <w:t>-</w:t>
            </w:r>
            <w:proofErr w:type="spellStart"/>
            <w:r w:rsidRPr="00632B89">
              <w:rPr>
                <w:rFonts w:asciiTheme="majorHAnsi" w:hAnsiTheme="majorHAnsi"/>
                <w:sz w:val="22"/>
                <w:szCs w:val="22"/>
              </w:rPr>
              <w:t>adherezní</w:t>
            </w:r>
            <w:proofErr w:type="spellEnd"/>
            <w:r w:rsidRPr="00632B89">
              <w:rPr>
                <w:rFonts w:asciiTheme="majorHAnsi" w:hAnsiTheme="majorHAnsi"/>
                <w:sz w:val="22"/>
                <w:szCs w:val="22"/>
              </w:rPr>
              <w:t xml:space="preserve"> strany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CB79D9">
            <w:pPr>
              <w:pStyle w:val="Odstavecseseznamem1"/>
              <w:ind w:left="0"/>
              <w:contextualSpacing/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3 x Obložení stran násypek v antiadhezivním provedení pro usnadnění sestupu lepivých materiálů.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17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944653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Čerpadlo pro přísady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B38" w:rsidRPr="00632B89" w:rsidRDefault="00671B38" w:rsidP="00671B38">
            <w:pPr>
              <w:pStyle w:val="Odstavecseseznamem1"/>
              <w:ind w:left="0"/>
              <w:contextualSpacing/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2 x Čerpadlo přísad s proměnnou rychlostí a průtokoměrem.</w:t>
            </w:r>
          </w:p>
          <w:p w:rsidR="00A90A9C" w:rsidRPr="00632B89" w:rsidRDefault="00671B38" w:rsidP="00671B38">
            <w:pPr>
              <w:pStyle w:val="Odstavecseseznamem1"/>
              <w:ind w:left="0"/>
              <w:contextualSpacing/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Rozsah dávkování 0,8 - 10,0 l/min, řízený elektronikou podle receptury.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17"/>
        </w:trPr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944653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Sada pracovních světel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CB79D9">
            <w:pPr>
              <w:pStyle w:val="Odstavecseseznamem1"/>
              <w:ind w:left="0"/>
              <w:contextualSpacing/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Vnitřní a venkovní osvětlení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CB79D9">
            <w:pPr>
              <w:snapToGrid w:val="0"/>
              <w:jc w:val="center"/>
              <w:rPr>
                <w:rFonts w:ascii="Cambria" w:hAnsi="Cambria" w:cs="Times New Roman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10"/>
        </w:trPr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Automatický mazací systém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CB79D9">
            <w:pPr>
              <w:pStyle w:val="Odstavecseseznamem2"/>
              <w:ind w:left="0"/>
              <w:contextualSpacing/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Mazací čerpadlo pro automatické promazání nastavení ložisek. Nastavitelné na řídícím panelu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CB79D9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17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632B89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Opl</w:t>
            </w:r>
            <w:r w:rsidR="00632B89">
              <w:rPr>
                <w:rFonts w:asciiTheme="majorHAnsi" w:hAnsiTheme="majorHAnsi"/>
                <w:sz w:val="22"/>
                <w:szCs w:val="22"/>
              </w:rPr>
              <w:t>á</w:t>
            </w:r>
            <w:r w:rsidRPr="00632B89">
              <w:rPr>
                <w:rFonts w:asciiTheme="majorHAnsi" w:hAnsiTheme="majorHAnsi"/>
                <w:sz w:val="22"/>
                <w:szCs w:val="22"/>
              </w:rPr>
              <w:t>štění zařízení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CB79D9">
            <w:pPr>
              <w:tabs>
                <w:tab w:val="left" w:pos="709"/>
              </w:tabs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Opláštění zařízení proti povětrnostním vlivům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14148C">
        <w:trPr>
          <w:trHeight w:val="517"/>
        </w:trPr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944653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Tiskárna denní produkce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671B38" w:rsidP="00CB79D9">
            <w:pPr>
              <w:tabs>
                <w:tab w:val="left" w:pos="709"/>
              </w:tabs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Tiskárna propojená s ovládacím panelem pro správu výtisku týkajícího se spotřeby stroje.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A9C" w:rsidRPr="00632B89" w:rsidRDefault="00A90A9C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:rsidTr="00632B89">
        <w:trPr>
          <w:trHeight w:val="517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90A9C" w:rsidRPr="00632B89" w:rsidRDefault="00671B38" w:rsidP="00944653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Dálkový ovladač pro obsluhu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90A9C" w:rsidRPr="00632B89" w:rsidRDefault="00671B38" w:rsidP="00CB79D9">
            <w:pPr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Dálkové ovládání s tlačítky pro výrobu, pohyby pásu a rychlosti, korekce míchání vody a nouzové zastavení.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90A9C" w:rsidRPr="00632B89" w:rsidRDefault="00A90A9C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A9C" w:rsidRPr="00632B89" w:rsidRDefault="00FC6CB6" w:rsidP="00A90A9C">
            <w:pPr>
              <w:jc w:val="center"/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B79D9" w:rsidRPr="00C32557" w:rsidTr="00632B89">
        <w:trPr>
          <w:trHeight w:val="517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9D9" w:rsidRPr="00632B89" w:rsidRDefault="00671B38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Vzdálená asistence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9D9" w:rsidRPr="00632B89" w:rsidRDefault="00671B38" w:rsidP="00CB79D9">
            <w:pPr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Možnost vzdálené asistence a správy - GSM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9D9" w:rsidRPr="00632B89" w:rsidRDefault="00CB79D9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9D9" w:rsidRPr="00632B89" w:rsidRDefault="00FC6CB6" w:rsidP="00CB79D9">
            <w:pPr>
              <w:jc w:val="center"/>
              <w:rPr>
                <w:rFonts w:ascii="Cambria" w:hAnsi="Cambria"/>
              </w:rPr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fldSimple w:instr="">
              <w:r w:rsidR="00CB79D9" w:rsidRPr="00632B89">
                <w:rPr>
                  <w:rFonts w:ascii="Cambria" w:eastAsia="Times New Roman" w:hAnsi="Cambria"/>
                  <w:sz w:val="22"/>
                  <w:szCs w:val="22"/>
                  <w:lang w:eastAsia="cs-CZ"/>
                </w:rPr>
                <w:t xml:space="preserve">     </w:t>
              </w:r>
              <w:r w:rsidR="00CB79D9" w:rsidRPr="00632B89">
                <w:rPr>
                  <w:rFonts w:ascii="Cambria" w:hAnsi="Cambria"/>
                  <w:sz w:val="22"/>
                  <w:szCs w:val="22"/>
                  <w:lang w:eastAsia="cs-CZ"/>
                </w:rPr>
                <w:t> </w:t>
              </w:r>
            </w:fldSimple>
          </w:p>
        </w:tc>
      </w:tr>
      <w:tr w:rsidR="00632B89" w:rsidRPr="00C32557" w:rsidTr="00632B89">
        <w:trPr>
          <w:trHeight w:val="517"/>
        </w:trPr>
        <w:tc>
          <w:tcPr>
            <w:tcW w:w="941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B89" w:rsidRPr="00632B89" w:rsidRDefault="00632B89" w:rsidP="00632B89">
            <w:pPr>
              <w:rPr>
                <w:rFonts w:ascii="Cambria" w:hAnsi="Cambria"/>
              </w:rPr>
            </w:pPr>
            <w:r w:rsidRPr="00632B89">
              <w:rPr>
                <w:rFonts w:asciiTheme="majorHAnsi" w:hAnsiTheme="majorHAnsi"/>
                <w:b/>
                <w:sz w:val="22"/>
                <w:szCs w:val="22"/>
              </w:rPr>
              <w:t>Horizontální silo pro pojivo</w:t>
            </w:r>
          </w:p>
        </w:tc>
      </w:tr>
      <w:tr w:rsidR="005145C6" w:rsidRPr="00C32557" w:rsidTr="0014148C">
        <w:trPr>
          <w:trHeight w:val="517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C6" w:rsidRPr="00632B89" w:rsidRDefault="00632B89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Horizontální cementové silo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C6" w:rsidRPr="00632B89" w:rsidRDefault="00632B89" w:rsidP="00CB79D9">
            <w:pPr>
              <w:jc w:val="center"/>
              <w:rPr>
                <w:rFonts w:asciiTheme="majorHAnsi" w:hAnsiTheme="majorHAnsi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Objem min. 42 m</w:t>
            </w:r>
            <w:r w:rsidRPr="00632B89">
              <w:rPr>
                <w:rFonts w:asciiTheme="majorHAnsi" w:hAnsiTheme="maj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C6" w:rsidRPr="00632B89" w:rsidRDefault="005145C6" w:rsidP="001A18F6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C6" w:rsidRPr="00632B89" w:rsidRDefault="00FC6CB6" w:rsidP="001A18F6">
            <w:pPr>
              <w:jc w:val="center"/>
              <w:rPr>
                <w:rFonts w:ascii="Cambria" w:hAnsi="Cambria"/>
              </w:rPr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45C6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145C6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145C6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145C6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145C6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145C6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fldSimple w:instr="">
              <w:r w:rsidR="005145C6" w:rsidRPr="00632B89">
                <w:rPr>
                  <w:rFonts w:ascii="Cambria" w:eastAsia="Times New Roman" w:hAnsi="Cambria"/>
                  <w:sz w:val="22"/>
                  <w:szCs w:val="22"/>
                  <w:lang w:eastAsia="cs-CZ"/>
                </w:rPr>
                <w:t xml:space="preserve">     </w:t>
              </w:r>
              <w:r w:rsidR="005145C6" w:rsidRPr="00632B89">
                <w:rPr>
                  <w:rFonts w:ascii="Cambria" w:hAnsi="Cambria"/>
                  <w:sz w:val="22"/>
                  <w:szCs w:val="22"/>
                  <w:lang w:eastAsia="cs-CZ"/>
                </w:rPr>
                <w:t> </w:t>
              </w:r>
            </w:fldSimple>
          </w:p>
        </w:tc>
      </w:tr>
      <w:tr w:rsidR="00632B89" w:rsidRPr="00C32557" w:rsidTr="00CC3E5B">
        <w:trPr>
          <w:trHeight w:val="517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89" w:rsidRPr="00632B89" w:rsidRDefault="00632B89">
            <w:pPr>
              <w:rPr>
                <w:rFonts w:ascii="Cambria" w:hAnsi="Cambria" w:cs="Tahoma"/>
                <w:color w:val="000000"/>
              </w:rPr>
            </w:pPr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t>Podpůrné nohy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2B89" w:rsidRPr="00632B89" w:rsidRDefault="00632B89">
            <w:pPr>
              <w:rPr>
                <w:rFonts w:ascii="Cambria" w:hAnsi="Cambria" w:cs="Tahoma"/>
                <w:color w:val="000000"/>
              </w:rPr>
            </w:pPr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t>Podpůrné nohy, možnost položení na zhutněný povrch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89" w:rsidRPr="00632B89" w:rsidRDefault="00632B89" w:rsidP="001A18F6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B89" w:rsidRPr="00632B89" w:rsidRDefault="00FC6CB6" w:rsidP="001A18F6">
            <w:pPr>
              <w:jc w:val="center"/>
              <w:rPr>
                <w:rFonts w:ascii="Cambria" w:hAnsi="Cambria"/>
              </w:rPr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B89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fldSimple w:instr="">
              <w:r w:rsidR="00632B89" w:rsidRPr="00632B89">
                <w:rPr>
                  <w:rFonts w:ascii="Cambria" w:eastAsia="Times New Roman" w:hAnsi="Cambria"/>
                  <w:sz w:val="22"/>
                  <w:szCs w:val="22"/>
                  <w:lang w:eastAsia="cs-CZ"/>
                </w:rPr>
                <w:t xml:space="preserve">     </w:t>
              </w:r>
              <w:r w:rsidR="00632B89" w:rsidRPr="00632B89">
                <w:rPr>
                  <w:rFonts w:ascii="Cambria" w:hAnsi="Cambria"/>
                  <w:sz w:val="22"/>
                  <w:szCs w:val="22"/>
                  <w:lang w:eastAsia="cs-CZ"/>
                </w:rPr>
                <w:t> </w:t>
              </w:r>
            </w:fldSimple>
          </w:p>
        </w:tc>
      </w:tr>
      <w:tr w:rsidR="00632B89" w:rsidRPr="00C32557" w:rsidTr="00854F6D">
        <w:trPr>
          <w:trHeight w:val="248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2B89" w:rsidRPr="00632B89" w:rsidRDefault="00632B89">
            <w:pPr>
              <w:rPr>
                <w:rFonts w:ascii="Cambria" w:hAnsi="Cambria" w:cs="Tahoma"/>
                <w:color w:val="000000"/>
              </w:rPr>
            </w:pPr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lastRenderedPageBreak/>
              <w:t>Filtr sila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2B89" w:rsidRPr="00632B89" w:rsidRDefault="00632B89">
            <w:pPr>
              <w:rPr>
                <w:rFonts w:ascii="Cambria" w:hAnsi="Cambria" w:cs="Tahoma"/>
                <w:color w:val="000000"/>
              </w:rPr>
            </w:pPr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t>Odlučovač prachu pro odvětrávání pneumaticky plněných sil, integrovaný elektrický vibrační čisticí systém. Průměr min. 600 mm/ 24"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2B89" w:rsidRPr="00632B89" w:rsidRDefault="00632B89" w:rsidP="001A18F6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B89" w:rsidRPr="00632B89" w:rsidRDefault="00FC6CB6" w:rsidP="001A18F6">
            <w:pPr>
              <w:jc w:val="center"/>
              <w:rPr>
                <w:rFonts w:ascii="Cambria" w:hAnsi="Cambria"/>
              </w:rPr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B89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fldSimple w:instr="">
              <w:r w:rsidR="00632B89" w:rsidRPr="00632B89">
                <w:rPr>
                  <w:rFonts w:ascii="Cambria" w:eastAsia="Times New Roman" w:hAnsi="Cambria"/>
                  <w:sz w:val="22"/>
                  <w:szCs w:val="22"/>
                  <w:lang w:eastAsia="cs-CZ"/>
                </w:rPr>
                <w:t xml:space="preserve">     </w:t>
              </w:r>
              <w:r w:rsidR="00632B89" w:rsidRPr="00632B89">
                <w:rPr>
                  <w:rFonts w:ascii="Cambria" w:hAnsi="Cambria"/>
                  <w:sz w:val="22"/>
                  <w:szCs w:val="22"/>
                  <w:lang w:eastAsia="cs-CZ"/>
                </w:rPr>
                <w:t> </w:t>
              </w:r>
            </w:fldSimple>
          </w:p>
        </w:tc>
      </w:tr>
      <w:tr w:rsidR="00632B89" w:rsidRPr="00C32557" w:rsidTr="00085478">
        <w:trPr>
          <w:trHeight w:val="248"/>
        </w:trPr>
        <w:tc>
          <w:tcPr>
            <w:tcW w:w="3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2B89" w:rsidRPr="00632B89" w:rsidRDefault="00632B89">
            <w:pPr>
              <w:rPr>
                <w:rFonts w:ascii="Cambria" w:hAnsi="Cambria" w:cs="Tahoma"/>
                <w:color w:val="000000"/>
              </w:rPr>
            </w:pPr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t xml:space="preserve">Šnekový </w:t>
            </w:r>
            <w:r>
              <w:rPr>
                <w:rFonts w:ascii="Cambria" w:hAnsi="Cambria" w:cs="Tahoma"/>
                <w:color w:val="000000"/>
                <w:sz w:val="22"/>
                <w:szCs w:val="22"/>
              </w:rPr>
              <w:t>dopravník /horizont</w:t>
            </w:r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t>ální/ pro plnění míchacího zařízení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2B89" w:rsidRPr="00632B89" w:rsidRDefault="00632B89">
            <w:pPr>
              <w:rPr>
                <w:rFonts w:ascii="Cambria" w:hAnsi="Cambria" w:cs="Tahoma"/>
                <w:color w:val="000000"/>
              </w:rPr>
            </w:pPr>
            <w:proofErr w:type="spellStart"/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t>V</w:t>
            </w:r>
            <w:r>
              <w:rPr>
                <w:rFonts w:ascii="Cambria" w:hAnsi="Cambria" w:cs="Tahoma"/>
                <w:color w:val="000000"/>
                <w:sz w:val="22"/>
                <w:szCs w:val="22"/>
              </w:rPr>
              <w:t>yprazdňovací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šnekový dopravník </w:t>
            </w:r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t>Ø219 mm</w:t>
            </w:r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br/>
              <w:t>Délka min. 6700 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2B89" w:rsidRPr="00632B89" w:rsidRDefault="00632B89" w:rsidP="00CE4D1C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B89" w:rsidRPr="00632B89" w:rsidRDefault="00FC6CB6" w:rsidP="00CE4D1C">
            <w:pPr>
              <w:jc w:val="center"/>
              <w:rPr>
                <w:rFonts w:ascii="Cambria" w:hAnsi="Cambria"/>
              </w:rPr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B89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fldSimple w:instr="">
              <w:r w:rsidR="00632B89" w:rsidRPr="00632B89">
                <w:rPr>
                  <w:rFonts w:ascii="Cambria" w:eastAsia="Times New Roman" w:hAnsi="Cambria"/>
                  <w:sz w:val="22"/>
                  <w:szCs w:val="22"/>
                  <w:lang w:eastAsia="cs-CZ"/>
                </w:rPr>
                <w:t xml:space="preserve">     </w:t>
              </w:r>
              <w:r w:rsidR="00632B89" w:rsidRPr="00632B89">
                <w:rPr>
                  <w:rFonts w:ascii="Cambria" w:hAnsi="Cambria"/>
                  <w:sz w:val="22"/>
                  <w:szCs w:val="22"/>
                  <w:lang w:eastAsia="cs-CZ"/>
                </w:rPr>
                <w:t> </w:t>
              </w:r>
            </w:fldSimple>
          </w:p>
        </w:tc>
      </w:tr>
      <w:tr w:rsidR="00632B89" w:rsidRPr="00C32557" w:rsidTr="008D71B3">
        <w:trPr>
          <w:trHeight w:val="248"/>
        </w:trPr>
        <w:tc>
          <w:tcPr>
            <w:tcW w:w="3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2B89" w:rsidRPr="00632B89" w:rsidRDefault="00632B89">
            <w:pPr>
              <w:rPr>
                <w:rFonts w:ascii="Cambria" w:hAnsi="Cambria" w:cs="Tahoma"/>
                <w:color w:val="000000"/>
              </w:rPr>
            </w:pPr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t>Vážící systém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2B89" w:rsidRPr="00632B89" w:rsidRDefault="00632B89">
            <w:pPr>
              <w:rPr>
                <w:rFonts w:ascii="Cambria" w:hAnsi="Cambria" w:cs="Tahoma"/>
                <w:color w:val="000000"/>
              </w:rPr>
            </w:pPr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t>Vážení cementového sila s tenzometry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2B89" w:rsidRPr="00632B89" w:rsidRDefault="00632B89" w:rsidP="00CE4D1C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B89" w:rsidRPr="00632B89" w:rsidRDefault="00FC6CB6" w:rsidP="00CE4D1C">
            <w:pPr>
              <w:jc w:val="center"/>
              <w:rPr>
                <w:rFonts w:ascii="Cambria" w:hAnsi="Cambria"/>
              </w:rPr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B89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fldSimple w:instr="">
              <w:r w:rsidR="00632B89" w:rsidRPr="00632B89">
                <w:rPr>
                  <w:rFonts w:ascii="Cambria" w:eastAsia="Times New Roman" w:hAnsi="Cambria"/>
                  <w:sz w:val="22"/>
                  <w:szCs w:val="22"/>
                  <w:lang w:eastAsia="cs-CZ"/>
                </w:rPr>
                <w:t xml:space="preserve">     </w:t>
              </w:r>
              <w:r w:rsidR="00632B89" w:rsidRPr="00632B89">
                <w:rPr>
                  <w:rFonts w:ascii="Cambria" w:hAnsi="Cambria"/>
                  <w:sz w:val="22"/>
                  <w:szCs w:val="22"/>
                  <w:lang w:eastAsia="cs-CZ"/>
                </w:rPr>
                <w:t> </w:t>
              </w:r>
            </w:fldSimple>
          </w:p>
        </w:tc>
      </w:tr>
      <w:tr w:rsidR="00632B89" w:rsidRPr="00C32557" w:rsidTr="002159C4">
        <w:trPr>
          <w:trHeight w:val="248"/>
        </w:trPr>
        <w:tc>
          <w:tcPr>
            <w:tcW w:w="3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2B89" w:rsidRPr="00632B89" w:rsidRDefault="00632B89">
            <w:pPr>
              <w:rPr>
                <w:rFonts w:ascii="Cambria" w:hAnsi="Cambria" w:cs="Tahoma"/>
                <w:color w:val="000000"/>
              </w:rPr>
            </w:pPr>
            <w:proofErr w:type="spellStart"/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t>Elektro</w:t>
            </w:r>
            <w:proofErr w:type="spellEnd"/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motor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2B89" w:rsidRPr="00632B89" w:rsidRDefault="00632B89">
            <w:pPr>
              <w:rPr>
                <w:rFonts w:ascii="Cambria" w:hAnsi="Cambria" w:cs="Tahoma"/>
                <w:color w:val="000000"/>
              </w:rPr>
            </w:pPr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t>300/400 V - 50 Hz třífázové napájení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2B89" w:rsidRPr="00632B89" w:rsidRDefault="00632B89" w:rsidP="00CE4D1C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B89" w:rsidRPr="00632B89" w:rsidRDefault="00FC6CB6" w:rsidP="00CE4D1C">
            <w:pPr>
              <w:jc w:val="center"/>
              <w:rPr>
                <w:rFonts w:ascii="Cambria" w:hAnsi="Cambria"/>
              </w:rPr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B89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fldSimple w:instr="">
              <w:r w:rsidR="00632B89" w:rsidRPr="00632B89">
                <w:rPr>
                  <w:rFonts w:ascii="Cambria" w:eastAsia="Times New Roman" w:hAnsi="Cambria"/>
                  <w:sz w:val="22"/>
                  <w:szCs w:val="22"/>
                  <w:lang w:eastAsia="cs-CZ"/>
                </w:rPr>
                <w:t xml:space="preserve">     </w:t>
              </w:r>
              <w:r w:rsidR="00632B89" w:rsidRPr="00632B89">
                <w:rPr>
                  <w:rFonts w:ascii="Cambria" w:hAnsi="Cambria"/>
                  <w:sz w:val="22"/>
                  <w:szCs w:val="22"/>
                  <w:lang w:eastAsia="cs-CZ"/>
                </w:rPr>
                <w:t> </w:t>
              </w:r>
            </w:fldSimple>
          </w:p>
        </w:tc>
      </w:tr>
      <w:tr w:rsidR="00632B89" w:rsidRPr="00C32557" w:rsidTr="00632B89">
        <w:trPr>
          <w:trHeight w:val="248"/>
        </w:trPr>
        <w:tc>
          <w:tcPr>
            <w:tcW w:w="329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32B89" w:rsidRPr="00632B89" w:rsidRDefault="00632B89">
            <w:pPr>
              <w:rPr>
                <w:rFonts w:ascii="Cambria" w:hAnsi="Cambria" w:cs="Tahoma"/>
                <w:color w:val="000000"/>
              </w:rPr>
            </w:pPr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t>Ovládací panel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632B89" w:rsidRPr="00632B89" w:rsidRDefault="00632B89" w:rsidP="00632B89">
            <w:pPr>
              <w:rPr>
                <w:rFonts w:ascii="Cambria" w:hAnsi="Cambria" w:cs="Tahoma"/>
                <w:color w:val="000000"/>
              </w:rPr>
            </w:pPr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t>Rozvaděč a Panel na rámu sila pro řízení a o</w:t>
            </w:r>
            <w:r>
              <w:rPr>
                <w:rFonts w:ascii="Cambria" w:hAnsi="Cambria" w:cs="Tahoma"/>
                <w:color w:val="000000"/>
                <w:sz w:val="22"/>
                <w:szCs w:val="22"/>
              </w:rPr>
              <w:t>v</w:t>
            </w:r>
            <w:r w:rsidRPr="00632B89">
              <w:rPr>
                <w:rFonts w:ascii="Cambria" w:hAnsi="Cambria" w:cs="Tahoma"/>
                <w:color w:val="000000"/>
                <w:sz w:val="22"/>
                <w:szCs w:val="22"/>
              </w:rPr>
              <w:t>ládaní vibrátoru a šneků, ruční a časované ovládání šneků a vibrátorů. Propojitelnost a automatizace pro plnění zásobníku kontinuální míchačky.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32B89" w:rsidRPr="00632B89" w:rsidRDefault="00632B89" w:rsidP="00CE4D1C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B89" w:rsidRPr="00632B89" w:rsidRDefault="00FC6CB6" w:rsidP="00CE4D1C">
            <w:pPr>
              <w:jc w:val="center"/>
              <w:rPr>
                <w:rFonts w:ascii="Cambria" w:hAnsi="Cambria"/>
              </w:rPr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B89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fldSimple w:instr="">
              <w:r w:rsidR="00632B89" w:rsidRPr="00632B89">
                <w:rPr>
                  <w:rFonts w:ascii="Cambria" w:eastAsia="Times New Roman" w:hAnsi="Cambria"/>
                  <w:sz w:val="22"/>
                  <w:szCs w:val="22"/>
                  <w:lang w:eastAsia="cs-CZ"/>
                </w:rPr>
                <w:t xml:space="preserve">     </w:t>
              </w:r>
              <w:r w:rsidR="00632B89" w:rsidRPr="00632B89">
                <w:rPr>
                  <w:rFonts w:ascii="Cambria" w:hAnsi="Cambria"/>
                  <w:sz w:val="22"/>
                  <w:szCs w:val="22"/>
                  <w:lang w:eastAsia="cs-CZ"/>
                </w:rPr>
                <w:t> </w:t>
              </w:r>
            </w:fldSimple>
          </w:p>
        </w:tc>
      </w:tr>
      <w:tr w:rsidR="00632B89" w:rsidRPr="00C32557" w:rsidTr="00E3225D">
        <w:trPr>
          <w:trHeight w:val="248"/>
        </w:trPr>
        <w:tc>
          <w:tcPr>
            <w:tcW w:w="941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B89" w:rsidRPr="00632B89" w:rsidRDefault="00632B89" w:rsidP="00632B89">
            <w:pPr>
              <w:rPr>
                <w:rFonts w:ascii="Cambria" w:hAnsi="Cambria"/>
                <w:b/>
                <w:highlight w:val="yellow"/>
              </w:rPr>
            </w:pPr>
            <w:r w:rsidRPr="00632B89">
              <w:rPr>
                <w:rFonts w:asciiTheme="majorHAnsi" w:hAnsiTheme="majorHAnsi"/>
                <w:b/>
                <w:sz w:val="22"/>
                <w:szCs w:val="22"/>
              </w:rPr>
              <w:t>Formy na betonové tvárnice</w:t>
            </w:r>
          </w:p>
        </w:tc>
      </w:tr>
      <w:tr w:rsidR="00632B89" w:rsidRPr="00C32557" w:rsidTr="00671B38">
        <w:trPr>
          <w:trHeight w:val="248"/>
        </w:trPr>
        <w:tc>
          <w:tcPr>
            <w:tcW w:w="3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2B89" w:rsidRPr="00632B89" w:rsidRDefault="00647E0C" w:rsidP="00570151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647E0C">
              <w:rPr>
                <w:rFonts w:asciiTheme="majorHAnsi" w:hAnsiTheme="majorHAnsi"/>
                <w:sz w:val="22"/>
                <w:szCs w:val="22"/>
              </w:rPr>
              <w:t>Forma na betonové tvárnice určené pro suché skládání do konstrukcí bez pojiva (zámkový systém)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89" w:rsidRPr="00632B89" w:rsidRDefault="00632B89" w:rsidP="00CB79D9">
            <w:pPr>
              <w:jc w:val="center"/>
              <w:rPr>
                <w:rFonts w:asciiTheme="majorHAnsi" w:hAnsiTheme="majorHAnsi"/>
                <w:highlight w:val="red"/>
              </w:rPr>
            </w:pPr>
            <w:r w:rsidRPr="00632B89">
              <w:rPr>
                <w:rFonts w:asciiTheme="majorHAnsi" w:hAnsiTheme="majorHAnsi"/>
                <w:sz w:val="22"/>
                <w:szCs w:val="22"/>
              </w:rPr>
              <w:t>3 ks Rozměry: 240x60x60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2B89" w:rsidRPr="00632B89" w:rsidRDefault="00632B89" w:rsidP="00CE4D1C">
            <w:pPr>
              <w:jc w:val="center"/>
              <w:rPr>
                <w:rFonts w:ascii="Cambria" w:hAnsi="Cambria"/>
                <w:highlight w:val="yellow"/>
              </w:rPr>
            </w:pPr>
            <w:r w:rsidRPr="00632B89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B89" w:rsidRPr="00632B89" w:rsidRDefault="00FC6CB6" w:rsidP="00CE4D1C">
            <w:pPr>
              <w:jc w:val="center"/>
              <w:rPr>
                <w:rFonts w:ascii="Cambria" w:hAnsi="Cambria"/>
              </w:rPr>
            </w:pP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B89" w:rsidRPr="00632B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32B89" w:rsidRPr="00632B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632B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fldSimple w:instr="">
              <w:r w:rsidR="00632B89" w:rsidRPr="00632B89">
                <w:rPr>
                  <w:rFonts w:ascii="Cambria" w:eastAsia="Times New Roman" w:hAnsi="Cambria"/>
                  <w:sz w:val="22"/>
                  <w:szCs w:val="22"/>
                  <w:lang w:eastAsia="cs-CZ"/>
                </w:rPr>
                <w:t xml:space="preserve">     </w:t>
              </w:r>
              <w:r w:rsidR="00632B89" w:rsidRPr="00632B89">
                <w:rPr>
                  <w:rFonts w:ascii="Cambria" w:hAnsi="Cambria"/>
                  <w:sz w:val="22"/>
                  <w:szCs w:val="22"/>
                  <w:lang w:eastAsia="cs-CZ"/>
                </w:rPr>
                <w:t> </w:t>
              </w:r>
            </w:fldSimple>
          </w:p>
        </w:tc>
      </w:tr>
    </w:tbl>
    <w:p w:rsidR="00833262" w:rsidRDefault="00833262" w:rsidP="009C0870">
      <w:pPr>
        <w:spacing w:line="276" w:lineRule="exact"/>
        <w:rPr>
          <w:rFonts w:ascii="Cambria" w:hAnsi="Cambria" w:cs="Times New Roman"/>
        </w:rPr>
      </w:pPr>
    </w:p>
    <w:p w:rsidR="0025325A" w:rsidRPr="006226DB" w:rsidRDefault="0025325A" w:rsidP="0025325A">
      <w:pPr>
        <w:jc w:val="both"/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 xml:space="preserve">Já (my) níže podepsaný (í) </w:t>
      </w:r>
      <w:r w:rsidR="00FC6CB6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FC6CB6" w:rsidRPr="006226DB">
        <w:rPr>
          <w:rFonts w:ascii="Cambria" w:hAnsi="Cambria"/>
          <w:sz w:val="22"/>
          <w:szCs w:val="22"/>
          <w:highlight w:val="yellow"/>
        </w:rPr>
      </w:r>
      <w:r w:rsidR="00FC6CB6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FC6CB6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 čestně prohlašuji (</w:t>
      </w:r>
      <w:proofErr w:type="spellStart"/>
      <w:r w:rsidRPr="006226DB">
        <w:rPr>
          <w:rFonts w:ascii="Cambria" w:hAnsi="Cambria"/>
          <w:sz w:val="22"/>
          <w:szCs w:val="22"/>
        </w:rPr>
        <w:t>eme</w:t>
      </w:r>
      <w:proofErr w:type="spellEnd"/>
      <w:r w:rsidRPr="006226DB">
        <w:rPr>
          <w:rFonts w:ascii="Cambria" w:hAnsi="Cambria"/>
          <w:sz w:val="22"/>
          <w:szCs w:val="22"/>
        </w:rPr>
        <w:t xml:space="preserve">), že výše uvedené údaje jsou pravdivé, a že dodavatel </w:t>
      </w:r>
      <w:r w:rsidR="00FC6CB6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FC6CB6" w:rsidRPr="006226DB">
        <w:rPr>
          <w:rFonts w:ascii="Cambria" w:hAnsi="Cambria"/>
          <w:sz w:val="22"/>
          <w:szCs w:val="22"/>
          <w:highlight w:val="yellow"/>
        </w:rPr>
      </w:r>
      <w:r w:rsidR="00FC6CB6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FC6CB6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 v případě jeho výběru zadavatelem v předmětné veřejné zakázce dodá zboží přesně dle technických a obchodních podmínek ve své nabídce.</w:t>
      </w:r>
    </w:p>
    <w:p w:rsidR="0025325A" w:rsidRPr="006226DB" w:rsidRDefault="0025325A" w:rsidP="0025325A">
      <w:pPr>
        <w:rPr>
          <w:rFonts w:ascii="Cambria" w:hAnsi="Cambria"/>
          <w:sz w:val="22"/>
          <w:szCs w:val="22"/>
        </w:rPr>
      </w:pPr>
    </w:p>
    <w:p w:rsidR="0025325A" w:rsidRPr="006226DB" w:rsidRDefault="0025325A" w:rsidP="0025325A">
      <w:pPr>
        <w:rPr>
          <w:rFonts w:ascii="Cambria" w:hAnsi="Cambria"/>
          <w:sz w:val="22"/>
          <w:szCs w:val="22"/>
        </w:rPr>
      </w:pPr>
    </w:p>
    <w:p w:rsidR="0025325A" w:rsidRDefault="0025325A" w:rsidP="0025325A">
      <w:pPr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>V</w:t>
      </w:r>
      <w:r w:rsidR="00FC6CB6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FC6CB6" w:rsidRPr="006226DB">
        <w:rPr>
          <w:rFonts w:ascii="Cambria" w:hAnsi="Cambria"/>
          <w:sz w:val="22"/>
          <w:szCs w:val="22"/>
          <w:highlight w:val="yellow"/>
        </w:rPr>
      </w:r>
      <w:r w:rsidR="00FC6CB6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FC6CB6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dne </w:t>
      </w:r>
      <w:r w:rsidR="00FC6CB6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FC6CB6" w:rsidRPr="006226DB">
        <w:rPr>
          <w:rFonts w:ascii="Cambria" w:hAnsi="Cambria"/>
          <w:sz w:val="22"/>
          <w:szCs w:val="22"/>
          <w:highlight w:val="yellow"/>
        </w:rPr>
      </w:r>
      <w:r w:rsidR="00FC6CB6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FC6CB6" w:rsidRPr="006226DB">
        <w:rPr>
          <w:rFonts w:ascii="Cambria" w:hAnsi="Cambria"/>
          <w:sz w:val="22"/>
          <w:szCs w:val="22"/>
          <w:highlight w:val="yellow"/>
        </w:rPr>
        <w:fldChar w:fldCharType="end"/>
      </w:r>
    </w:p>
    <w:p w:rsidR="00632B89" w:rsidRPr="006226DB" w:rsidRDefault="00632B89" w:rsidP="0025325A">
      <w:pPr>
        <w:rPr>
          <w:rFonts w:ascii="Cambria" w:hAnsi="Cambria"/>
          <w:sz w:val="22"/>
          <w:szCs w:val="22"/>
        </w:rPr>
      </w:pPr>
    </w:p>
    <w:p w:rsidR="0025325A" w:rsidRPr="006226DB" w:rsidRDefault="0025325A" w:rsidP="0025325A">
      <w:pPr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  <w:t>_________________________________</w:t>
      </w:r>
    </w:p>
    <w:p w:rsidR="0025325A" w:rsidRPr="006226DB" w:rsidRDefault="00FC6CB6" w:rsidP="0025325A">
      <w:pPr>
        <w:ind w:left="4956"/>
        <w:rPr>
          <w:rFonts w:ascii="Cambria" w:hAnsi="Cambria"/>
          <w:noProof/>
          <w:sz w:val="22"/>
          <w:szCs w:val="22"/>
          <w:highlight w:val="yellow"/>
        </w:rPr>
      </w:pPr>
      <w:r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325A"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Pr="006226DB">
        <w:rPr>
          <w:rFonts w:ascii="Cambria" w:hAnsi="Cambria"/>
          <w:sz w:val="22"/>
          <w:szCs w:val="22"/>
          <w:highlight w:val="yellow"/>
        </w:rPr>
      </w:r>
      <w:r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="0025325A" w:rsidRPr="006226DB">
        <w:rPr>
          <w:rFonts w:ascii="Cambria" w:hAnsi="Cambria"/>
          <w:noProof/>
          <w:sz w:val="22"/>
          <w:szCs w:val="22"/>
          <w:highlight w:val="yellow"/>
        </w:rPr>
        <w:t>Jméno a funkce oprávněné osoby dodavatele</w:t>
      </w:r>
    </w:p>
    <w:p w:rsidR="0025325A" w:rsidRPr="006226DB" w:rsidRDefault="0025325A" w:rsidP="0025325A">
      <w:pPr>
        <w:ind w:left="4956"/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noProof/>
          <w:sz w:val="22"/>
          <w:szCs w:val="22"/>
          <w:highlight w:val="yellow"/>
        </w:rPr>
        <w:t>Razítko a podpis oprávněné osoby dodavatele</w:t>
      </w:r>
      <w:r w:rsidR="00FC6CB6" w:rsidRPr="006226DB">
        <w:rPr>
          <w:rFonts w:ascii="Cambria" w:hAnsi="Cambria"/>
          <w:sz w:val="22"/>
          <w:szCs w:val="22"/>
          <w:highlight w:val="yellow"/>
        </w:rPr>
        <w:fldChar w:fldCharType="end"/>
      </w:r>
    </w:p>
    <w:p w:rsidR="00944653" w:rsidRPr="00C32557" w:rsidRDefault="00944653" w:rsidP="009C0870">
      <w:pPr>
        <w:spacing w:line="276" w:lineRule="exact"/>
        <w:rPr>
          <w:rFonts w:ascii="Cambria" w:hAnsi="Cambria" w:cs="Times New Roman"/>
        </w:rPr>
      </w:pPr>
    </w:p>
    <w:sectPr w:rsidR="00944653" w:rsidRPr="00C32557" w:rsidSect="00944653">
      <w:headerReference w:type="default" r:id="rId8"/>
      <w:footerReference w:type="default" r:id="rId9"/>
      <w:pgSz w:w="12240" w:h="15840"/>
      <w:pgMar w:top="1440" w:right="1183" w:bottom="1440" w:left="1800" w:header="0" w:footer="1191" w:gutter="0"/>
      <w:cols w:space="708"/>
      <w:formProt w:val="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38" w:rsidRDefault="00671B38" w:rsidP="00D7324E">
      <w:r>
        <w:separator/>
      </w:r>
    </w:p>
  </w:endnote>
  <w:endnote w:type="continuationSeparator" w:id="0">
    <w:p w:rsidR="00671B38" w:rsidRDefault="00671B38" w:rsidP="00D73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38" w:rsidRPr="00944653" w:rsidRDefault="00671B38" w:rsidP="00944653">
    <w:pPr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 xml:space="preserve">Poznámka:  </w:t>
    </w:r>
    <w:r w:rsidRPr="007929C2">
      <w:rPr>
        <w:rFonts w:ascii="Calibri Light" w:hAnsi="Calibri Light"/>
        <w:sz w:val="18"/>
        <w:szCs w:val="18"/>
      </w:rPr>
      <w:t>Jestliže se v</w:t>
    </w:r>
    <w:r>
      <w:rPr>
        <w:rFonts w:ascii="Calibri Light" w:hAnsi="Calibri Light"/>
        <w:sz w:val="18"/>
        <w:szCs w:val="18"/>
      </w:rPr>
      <w:t xml:space="preserve">e </w:t>
    </w:r>
    <w:proofErr w:type="gramStart"/>
    <w:r>
      <w:rPr>
        <w:rFonts w:ascii="Calibri Light" w:hAnsi="Calibri Light"/>
        <w:sz w:val="18"/>
        <w:szCs w:val="18"/>
      </w:rPr>
      <w:t xml:space="preserve">specifikaci </w:t>
    </w:r>
    <w:r w:rsidRPr="007929C2">
      <w:rPr>
        <w:rFonts w:ascii="Calibri Light" w:hAnsi="Calibri Light"/>
        <w:sz w:val="18"/>
        <w:szCs w:val="18"/>
      </w:rPr>
      <w:t xml:space="preserve"> objeví</w:t>
    </w:r>
    <w:proofErr w:type="gramEnd"/>
    <w:r w:rsidRPr="007929C2">
      <w:rPr>
        <w:rFonts w:ascii="Calibri Light" w:hAnsi="Calibri Light"/>
        <w:sz w:val="18"/>
        <w:szCs w:val="18"/>
      </w:rPr>
      <w:t xml:space="preserve">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umožňuje pro plnění zakázky použít i jiných, kvalitativně a technicky obdobných řešení, pakliže z charakteru poptávaného plnění nevyplývá, že by použití takového substitutu bylo v rozporu s účelem poptávky (například, že by substitut snížil kompatibilitu poptávaného plnění s již existujícími výrobními prostředky).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38" w:rsidRDefault="00671B38" w:rsidP="00D7324E">
      <w:r>
        <w:separator/>
      </w:r>
    </w:p>
  </w:footnote>
  <w:footnote w:type="continuationSeparator" w:id="0">
    <w:p w:rsidR="00671B38" w:rsidRDefault="00671B38" w:rsidP="00D73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38" w:rsidRDefault="00671B38">
    <w:pPr>
      <w:pStyle w:val="Zhlav"/>
    </w:pPr>
  </w:p>
  <w:p w:rsidR="00671B38" w:rsidRDefault="00671B38">
    <w:pPr>
      <w:pStyle w:val="Zhlav"/>
    </w:pPr>
  </w:p>
  <w:p w:rsidR="00671B38" w:rsidRPr="007B4BF4" w:rsidRDefault="00671B38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:rsidR="00671B38" w:rsidRDefault="00671B3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DA1"/>
    <w:rsid w:val="00001CC4"/>
    <w:rsid w:val="000102F6"/>
    <w:rsid w:val="0002201B"/>
    <w:rsid w:val="00030B9F"/>
    <w:rsid w:val="000536C0"/>
    <w:rsid w:val="00073560"/>
    <w:rsid w:val="0008235B"/>
    <w:rsid w:val="00084388"/>
    <w:rsid w:val="000B6205"/>
    <w:rsid w:val="000C4162"/>
    <w:rsid w:val="000D2398"/>
    <w:rsid w:val="00112EA7"/>
    <w:rsid w:val="001145B8"/>
    <w:rsid w:val="001263EB"/>
    <w:rsid w:val="00131901"/>
    <w:rsid w:val="00135CC5"/>
    <w:rsid w:val="0014148C"/>
    <w:rsid w:val="00150044"/>
    <w:rsid w:val="00154401"/>
    <w:rsid w:val="00162C67"/>
    <w:rsid w:val="00174244"/>
    <w:rsid w:val="0018102D"/>
    <w:rsid w:val="00190409"/>
    <w:rsid w:val="0019259A"/>
    <w:rsid w:val="001A18F6"/>
    <w:rsid w:val="001A343D"/>
    <w:rsid w:val="001B0F9D"/>
    <w:rsid w:val="001C1865"/>
    <w:rsid w:val="001E363A"/>
    <w:rsid w:val="00205756"/>
    <w:rsid w:val="00216481"/>
    <w:rsid w:val="00222594"/>
    <w:rsid w:val="00222B2B"/>
    <w:rsid w:val="002309D4"/>
    <w:rsid w:val="002319A7"/>
    <w:rsid w:val="00233CD7"/>
    <w:rsid w:val="002355C9"/>
    <w:rsid w:val="00244107"/>
    <w:rsid w:val="00246ED6"/>
    <w:rsid w:val="0025325A"/>
    <w:rsid w:val="00253DE9"/>
    <w:rsid w:val="002826FE"/>
    <w:rsid w:val="00282935"/>
    <w:rsid w:val="00294851"/>
    <w:rsid w:val="00295778"/>
    <w:rsid w:val="002B5544"/>
    <w:rsid w:val="002C2416"/>
    <w:rsid w:val="002E557A"/>
    <w:rsid w:val="002F43AD"/>
    <w:rsid w:val="002F5238"/>
    <w:rsid w:val="003155DA"/>
    <w:rsid w:val="00327E1D"/>
    <w:rsid w:val="00341D2A"/>
    <w:rsid w:val="003602EC"/>
    <w:rsid w:val="00360DA1"/>
    <w:rsid w:val="00371FD6"/>
    <w:rsid w:val="003757C3"/>
    <w:rsid w:val="0039030D"/>
    <w:rsid w:val="0039167D"/>
    <w:rsid w:val="003A5D6D"/>
    <w:rsid w:val="003C3D4D"/>
    <w:rsid w:val="003E1118"/>
    <w:rsid w:val="003F1061"/>
    <w:rsid w:val="003F1EDD"/>
    <w:rsid w:val="003F42E9"/>
    <w:rsid w:val="00412B34"/>
    <w:rsid w:val="004322EB"/>
    <w:rsid w:val="004329AF"/>
    <w:rsid w:val="0043518C"/>
    <w:rsid w:val="00441C63"/>
    <w:rsid w:val="00444C4C"/>
    <w:rsid w:val="004500E2"/>
    <w:rsid w:val="00451663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B27C9"/>
    <w:rsid w:val="004B5E48"/>
    <w:rsid w:val="004B6C32"/>
    <w:rsid w:val="004C04AD"/>
    <w:rsid w:val="004D4ED2"/>
    <w:rsid w:val="004D5964"/>
    <w:rsid w:val="004F0CE8"/>
    <w:rsid w:val="004F3459"/>
    <w:rsid w:val="004F3638"/>
    <w:rsid w:val="00507750"/>
    <w:rsid w:val="005145C6"/>
    <w:rsid w:val="00514D81"/>
    <w:rsid w:val="00515554"/>
    <w:rsid w:val="0054326F"/>
    <w:rsid w:val="00553F9D"/>
    <w:rsid w:val="00560953"/>
    <w:rsid w:val="00562721"/>
    <w:rsid w:val="0056770B"/>
    <w:rsid w:val="00570151"/>
    <w:rsid w:val="00571C9F"/>
    <w:rsid w:val="00594EF6"/>
    <w:rsid w:val="005B20A2"/>
    <w:rsid w:val="005B7F5D"/>
    <w:rsid w:val="005C5421"/>
    <w:rsid w:val="005D0354"/>
    <w:rsid w:val="005F70D5"/>
    <w:rsid w:val="00611788"/>
    <w:rsid w:val="00614C07"/>
    <w:rsid w:val="0061546F"/>
    <w:rsid w:val="00625A4F"/>
    <w:rsid w:val="0062744B"/>
    <w:rsid w:val="0062767E"/>
    <w:rsid w:val="00632B89"/>
    <w:rsid w:val="00633787"/>
    <w:rsid w:val="00642533"/>
    <w:rsid w:val="00643672"/>
    <w:rsid w:val="006476A5"/>
    <w:rsid w:val="00647E0C"/>
    <w:rsid w:val="00650F18"/>
    <w:rsid w:val="00660133"/>
    <w:rsid w:val="00660E44"/>
    <w:rsid w:val="0066175B"/>
    <w:rsid w:val="00661AAE"/>
    <w:rsid w:val="0067033C"/>
    <w:rsid w:val="00671A29"/>
    <w:rsid w:val="00671B38"/>
    <w:rsid w:val="006751FD"/>
    <w:rsid w:val="006756AA"/>
    <w:rsid w:val="006848C2"/>
    <w:rsid w:val="00690666"/>
    <w:rsid w:val="006C4572"/>
    <w:rsid w:val="006D0C01"/>
    <w:rsid w:val="0070224C"/>
    <w:rsid w:val="00721EBB"/>
    <w:rsid w:val="00724138"/>
    <w:rsid w:val="00724D2E"/>
    <w:rsid w:val="00725184"/>
    <w:rsid w:val="00734497"/>
    <w:rsid w:val="00742872"/>
    <w:rsid w:val="00753270"/>
    <w:rsid w:val="00763377"/>
    <w:rsid w:val="00783145"/>
    <w:rsid w:val="007A3C59"/>
    <w:rsid w:val="007B5C75"/>
    <w:rsid w:val="007B784B"/>
    <w:rsid w:val="007D3C9A"/>
    <w:rsid w:val="00803C1B"/>
    <w:rsid w:val="00803F05"/>
    <w:rsid w:val="00821992"/>
    <w:rsid w:val="00823868"/>
    <w:rsid w:val="00833262"/>
    <w:rsid w:val="008344DD"/>
    <w:rsid w:val="0083472D"/>
    <w:rsid w:val="008366F9"/>
    <w:rsid w:val="008475FD"/>
    <w:rsid w:val="00850F80"/>
    <w:rsid w:val="00855397"/>
    <w:rsid w:val="00863456"/>
    <w:rsid w:val="00870618"/>
    <w:rsid w:val="008765D4"/>
    <w:rsid w:val="00880230"/>
    <w:rsid w:val="008944B9"/>
    <w:rsid w:val="008B0C9C"/>
    <w:rsid w:val="008C79C5"/>
    <w:rsid w:val="008D6D9B"/>
    <w:rsid w:val="008E339C"/>
    <w:rsid w:val="008F1BA9"/>
    <w:rsid w:val="00903961"/>
    <w:rsid w:val="00903C8F"/>
    <w:rsid w:val="00910D12"/>
    <w:rsid w:val="00925174"/>
    <w:rsid w:val="0093231D"/>
    <w:rsid w:val="00936019"/>
    <w:rsid w:val="0093703B"/>
    <w:rsid w:val="00943DD5"/>
    <w:rsid w:val="00944653"/>
    <w:rsid w:val="0097164C"/>
    <w:rsid w:val="00976D19"/>
    <w:rsid w:val="00980350"/>
    <w:rsid w:val="00985B09"/>
    <w:rsid w:val="009929AB"/>
    <w:rsid w:val="009C0870"/>
    <w:rsid w:val="009C2AC6"/>
    <w:rsid w:val="00A04BA5"/>
    <w:rsid w:val="00A20E7E"/>
    <w:rsid w:val="00A2525F"/>
    <w:rsid w:val="00A56FB8"/>
    <w:rsid w:val="00A57BA4"/>
    <w:rsid w:val="00A70F0F"/>
    <w:rsid w:val="00A7284F"/>
    <w:rsid w:val="00A839EF"/>
    <w:rsid w:val="00A90159"/>
    <w:rsid w:val="00A90815"/>
    <w:rsid w:val="00A90A9C"/>
    <w:rsid w:val="00A9123D"/>
    <w:rsid w:val="00A919E3"/>
    <w:rsid w:val="00AC5246"/>
    <w:rsid w:val="00AD3201"/>
    <w:rsid w:val="00AE6897"/>
    <w:rsid w:val="00B0391B"/>
    <w:rsid w:val="00B066D6"/>
    <w:rsid w:val="00B11F23"/>
    <w:rsid w:val="00B13136"/>
    <w:rsid w:val="00B14469"/>
    <w:rsid w:val="00B2439B"/>
    <w:rsid w:val="00B24EBE"/>
    <w:rsid w:val="00B26732"/>
    <w:rsid w:val="00B31E15"/>
    <w:rsid w:val="00B32F9A"/>
    <w:rsid w:val="00B37AB7"/>
    <w:rsid w:val="00B41C36"/>
    <w:rsid w:val="00B46632"/>
    <w:rsid w:val="00B501FC"/>
    <w:rsid w:val="00B56117"/>
    <w:rsid w:val="00B61047"/>
    <w:rsid w:val="00B63138"/>
    <w:rsid w:val="00B70890"/>
    <w:rsid w:val="00B71988"/>
    <w:rsid w:val="00B81940"/>
    <w:rsid w:val="00B83672"/>
    <w:rsid w:val="00B936A1"/>
    <w:rsid w:val="00B958B7"/>
    <w:rsid w:val="00B95FAA"/>
    <w:rsid w:val="00BA1DB4"/>
    <w:rsid w:val="00BD3D1A"/>
    <w:rsid w:val="00BD72D8"/>
    <w:rsid w:val="00BE0730"/>
    <w:rsid w:val="00BF66D0"/>
    <w:rsid w:val="00C020F7"/>
    <w:rsid w:val="00C13C5F"/>
    <w:rsid w:val="00C20D58"/>
    <w:rsid w:val="00C213C1"/>
    <w:rsid w:val="00C30F4F"/>
    <w:rsid w:val="00C31E11"/>
    <w:rsid w:val="00C32557"/>
    <w:rsid w:val="00C63D1D"/>
    <w:rsid w:val="00C839AC"/>
    <w:rsid w:val="00C850F5"/>
    <w:rsid w:val="00C93E28"/>
    <w:rsid w:val="00CB79D9"/>
    <w:rsid w:val="00CC1CD1"/>
    <w:rsid w:val="00CC2ABE"/>
    <w:rsid w:val="00CD6F0D"/>
    <w:rsid w:val="00CE2874"/>
    <w:rsid w:val="00D231FC"/>
    <w:rsid w:val="00D32372"/>
    <w:rsid w:val="00D5250F"/>
    <w:rsid w:val="00D578ED"/>
    <w:rsid w:val="00D61B9F"/>
    <w:rsid w:val="00D70991"/>
    <w:rsid w:val="00D7324E"/>
    <w:rsid w:val="00D82A28"/>
    <w:rsid w:val="00D9268F"/>
    <w:rsid w:val="00DA3758"/>
    <w:rsid w:val="00DA69FB"/>
    <w:rsid w:val="00DB48C9"/>
    <w:rsid w:val="00DC1343"/>
    <w:rsid w:val="00DC2362"/>
    <w:rsid w:val="00DD5490"/>
    <w:rsid w:val="00DE4AE9"/>
    <w:rsid w:val="00DF0E3D"/>
    <w:rsid w:val="00E13B9E"/>
    <w:rsid w:val="00E24559"/>
    <w:rsid w:val="00E535EC"/>
    <w:rsid w:val="00E54CBA"/>
    <w:rsid w:val="00E718BC"/>
    <w:rsid w:val="00E71B7A"/>
    <w:rsid w:val="00E76E06"/>
    <w:rsid w:val="00EA103D"/>
    <w:rsid w:val="00EA208B"/>
    <w:rsid w:val="00EC2452"/>
    <w:rsid w:val="00EC75E3"/>
    <w:rsid w:val="00ED0B06"/>
    <w:rsid w:val="00ED37BA"/>
    <w:rsid w:val="00EE7F5A"/>
    <w:rsid w:val="00EF25FC"/>
    <w:rsid w:val="00F03F91"/>
    <w:rsid w:val="00F1085A"/>
    <w:rsid w:val="00F11CA3"/>
    <w:rsid w:val="00F174D4"/>
    <w:rsid w:val="00F17EB5"/>
    <w:rsid w:val="00F31A25"/>
    <w:rsid w:val="00F44A5A"/>
    <w:rsid w:val="00F566C8"/>
    <w:rsid w:val="00F860B0"/>
    <w:rsid w:val="00F904E0"/>
    <w:rsid w:val="00F923C6"/>
    <w:rsid w:val="00F9598E"/>
    <w:rsid w:val="00FB3907"/>
    <w:rsid w:val="00FB3A97"/>
    <w:rsid w:val="00FC1567"/>
    <w:rsid w:val="00FC6101"/>
    <w:rsid w:val="00FC6CB6"/>
    <w:rsid w:val="00FD59CE"/>
    <w:rsid w:val="00FE20BA"/>
    <w:rsid w:val="00FE57CD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  <w:style w:type="paragraph" w:customStyle="1" w:styleId="Odstavecseseznamem2">
    <w:name w:val="Odstavec se seznamem2"/>
    <w:basedOn w:val="Normln"/>
    <w:rsid w:val="00C32557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94058-C97D-4952-9D5C-3601CB8B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1017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Karla Zalubilová</cp:lastModifiedBy>
  <cp:revision>36</cp:revision>
  <cp:lastPrinted>2019-09-16T15:59:00Z</cp:lastPrinted>
  <dcterms:created xsi:type="dcterms:W3CDTF">2020-03-05T12:44:00Z</dcterms:created>
  <dcterms:modified xsi:type="dcterms:W3CDTF">2026-01-12T07:38:00Z</dcterms:modified>
</cp:coreProperties>
</file>