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517D" w14:textId="77777777" w:rsidR="004E4813" w:rsidRPr="00321F99" w:rsidRDefault="001039E4" w:rsidP="0048491F">
      <w:pPr>
        <w:pStyle w:val="Nadpis1"/>
        <w:jc w:val="center"/>
        <w:rPr>
          <w:rFonts w:ascii="Cambria" w:hAnsi="Cambria"/>
        </w:rPr>
      </w:pPr>
      <w:r w:rsidRPr="00321F99">
        <w:rPr>
          <w:rFonts w:ascii="Cambria" w:hAnsi="Cambria"/>
        </w:rPr>
        <w:t>SMLOUVA O POSKYTOVÁNÍ TESTOVACÍCH SLUŽEB</w:t>
      </w:r>
    </w:p>
    <w:p w14:paraId="6040265D" w14:textId="77777777" w:rsidR="004E4813" w:rsidRPr="00321F99" w:rsidRDefault="001039E4" w:rsidP="00321F99">
      <w:pPr>
        <w:pStyle w:val="Zkladntext"/>
        <w:jc w:val="both"/>
        <w:rPr>
          <w:rFonts w:ascii="Cambria" w:hAnsi="Cambria"/>
        </w:rPr>
      </w:pPr>
      <w:r w:rsidRPr="00321F99">
        <w:rPr>
          <w:rFonts w:ascii="Cambria" w:hAnsi="Cambria"/>
        </w:rPr>
        <w:t>uzavřená dle § 1746 odst. 2 zákona č. 89/2012 Sb., občanský zákoník</w:t>
      </w:r>
    </w:p>
    <w:p w14:paraId="2E74D2DA" w14:textId="77777777" w:rsidR="00321F99" w:rsidRPr="00321F99" w:rsidRDefault="00321F99" w:rsidP="00321F99">
      <w:pPr>
        <w:widowControl/>
        <w:suppressAutoHyphens w:val="0"/>
        <w:spacing w:before="100" w:beforeAutospacing="1" w:after="100" w:afterAutospacing="1"/>
        <w:jc w:val="both"/>
        <w:outlineLvl w:val="1"/>
        <w:rPr>
          <w:rFonts w:ascii="Cambria" w:eastAsia="Times New Roman" w:hAnsi="Cambria" w:cs="Times New Roman"/>
          <w:b/>
          <w:bCs/>
          <w:color w:val="auto"/>
          <w:sz w:val="36"/>
          <w:szCs w:val="36"/>
          <w:lang w:eastAsia="cs-CZ" w:bidi="ar-SA"/>
        </w:rPr>
      </w:pPr>
      <w:bookmarkStart w:id="0" w:name="_Hlk219884710"/>
      <w:r w:rsidRPr="00321F99">
        <w:rPr>
          <w:rFonts w:ascii="Cambria" w:eastAsia="Times New Roman" w:hAnsi="Cambria" w:cs="Times New Roman"/>
          <w:b/>
          <w:bCs/>
          <w:color w:val="auto"/>
          <w:sz w:val="36"/>
          <w:szCs w:val="36"/>
          <w:lang w:eastAsia="cs-CZ" w:bidi="ar-SA"/>
        </w:rPr>
        <w:t>I. Smluvní strany</w:t>
      </w:r>
    </w:p>
    <w:p w14:paraId="52C9C7B1" w14:textId="77777777" w:rsidR="00321F99" w:rsidRPr="00321F99" w:rsidRDefault="00321F99" w:rsidP="00321F99">
      <w:pPr>
        <w:widowControl/>
        <w:tabs>
          <w:tab w:val="left" w:pos="2268"/>
        </w:tabs>
        <w:suppressAutoHyphens w:val="0"/>
        <w:ind w:left="426"/>
        <w:jc w:val="both"/>
        <w:rPr>
          <w:rFonts w:ascii="Cambria" w:eastAsia="Times New Roman" w:hAnsi="Cambria" w:cs="Times New Roman"/>
          <w:b/>
          <w:bCs/>
          <w:sz w:val="22"/>
          <w:lang w:eastAsia="cs-CZ" w:bidi="ar-SA"/>
        </w:rPr>
      </w:pPr>
      <w:r w:rsidRPr="00321F99">
        <w:rPr>
          <w:rFonts w:ascii="Cambria" w:eastAsia="Times New Roman" w:hAnsi="Cambria" w:cs="Times New Roman"/>
          <w:b/>
          <w:bCs/>
          <w:szCs w:val="28"/>
          <w:lang w:eastAsia="cs-CZ" w:bidi="ar-SA"/>
        </w:rPr>
        <w:t>Objednatel:</w:t>
      </w:r>
      <w:r w:rsidRPr="00321F99">
        <w:rPr>
          <w:rFonts w:ascii="Cambria" w:eastAsia="Times New Roman" w:hAnsi="Cambria" w:cs="Times New Roman"/>
          <w:b/>
          <w:bCs/>
          <w:sz w:val="22"/>
          <w:lang w:eastAsia="cs-CZ" w:bidi="ar-SA"/>
        </w:rPr>
        <w:tab/>
      </w:r>
      <w:proofErr w:type="spellStart"/>
      <w:r w:rsidRPr="00321F99">
        <w:rPr>
          <w:rFonts w:ascii="Cambria" w:eastAsia="Times New Roman" w:hAnsi="Cambria" w:cs="Times New Roman"/>
          <w:b/>
          <w:bCs/>
          <w:szCs w:val="28"/>
          <w:lang w:eastAsia="cs-CZ" w:bidi="ar-SA"/>
        </w:rPr>
        <w:t>ExpertaLabs</w:t>
      </w:r>
      <w:proofErr w:type="spellEnd"/>
      <w:r w:rsidRPr="00321F99">
        <w:rPr>
          <w:rFonts w:ascii="Cambria" w:eastAsia="Times New Roman" w:hAnsi="Cambria" w:cs="Times New Roman"/>
          <w:b/>
          <w:bCs/>
          <w:szCs w:val="28"/>
          <w:lang w:eastAsia="cs-CZ" w:bidi="ar-SA"/>
        </w:rPr>
        <w:t>, s.r.o.</w:t>
      </w:r>
    </w:p>
    <w:p w14:paraId="21FEAA9E" w14:textId="77777777" w:rsidR="00321F99" w:rsidRPr="00321F99" w:rsidRDefault="00321F99" w:rsidP="00321F99">
      <w:pPr>
        <w:widowControl/>
        <w:tabs>
          <w:tab w:val="left" w:pos="2268"/>
        </w:tabs>
        <w:suppressAutoHyphens w:val="0"/>
        <w:ind w:left="426"/>
        <w:jc w:val="both"/>
        <w:rPr>
          <w:rFonts w:ascii="Cambria" w:eastAsia="Times New Roman" w:hAnsi="Cambria" w:cs="Times New Roman"/>
          <w:bCs/>
          <w:lang w:eastAsia="cs-CZ" w:bidi="ar-SA"/>
        </w:rPr>
      </w:pPr>
      <w:r w:rsidRPr="00321F99">
        <w:rPr>
          <w:rFonts w:ascii="Cambria" w:eastAsia="Times New Roman" w:hAnsi="Cambria" w:cs="Times New Roman"/>
          <w:color w:val="auto"/>
          <w:kern w:val="18"/>
          <w:lang w:eastAsia="cs-CZ" w:bidi="ar-SA"/>
        </w:rPr>
        <w:t xml:space="preserve">se sídlem: </w:t>
      </w:r>
      <w:r w:rsidRPr="00321F99">
        <w:rPr>
          <w:rFonts w:ascii="Cambria" w:eastAsia="Times New Roman" w:hAnsi="Cambria" w:cs="Times New Roman"/>
          <w:color w:val="auto"/>
          <w:kern w:val="18"/>
          <w:lang w:eastAsia="cs-CZ" w:bidi="ar-SA"/>
        </w:rPr>
        <w:tab/>
        <w:t>Nové sady 988/2, Staré Brno, 602 00 Brno</w:t>
      </w:r>
    </w:p>
    <w:p w14:paraId="41E436A8" w14:textId="77777777" w:rsidR="00321F99" w:rsidRPr="00321F99" w:rsidRDefault="00321F99" w:rsidP="00321F99">
      <w:pPr>
        <w:widowControl/>
        <w:tabs>
          <w:tab w:val="left" w:pos="2268"/>
        </w:tabs>
        <w:suppressAutoHyphens w:val="0"/>
        <w:ind w:left="426"/>
        <w:jc w:val="both"/>
        <w:rPr>
          <w:rFonts w:ascii="Cambria" w:eastAsia="Times New Roman" w:hAnsi="Cambria" w:cs="Times New Roman"/>
          <w:color w:val="auto"/>
          <w:kern w:val="18"/>
          <w:lang w:eastAsia="cs-CZ" w:bidi="ar-SA"/>
        </w:rPr>
      </w:pPr>
      <w:r w:rsidRPr="00321F99">
        <w:rPr>
          <w:rFonts w:ascii="Cambria" w:eastAsia="Times New Roman" w:hAnsi="Cambria" w:cs="Times New Roman"/>
          <w:color w:val="auto"/>
          <w:kern w:val="18"/>
          <w:lang w:eastAsia="cs-CZ" w:bidi="ar-SA"/>
        </w:rPr>
        <w:t xml:space="preserve">IČO: </w:t>
      </w:r>
      <w:r w:rsidRPr="00321F99">
        <w:rPr>
          <w:rFonts w:ascii="Cambria" w:eastAsia="Times New Roman" w:hAnsi="Cambria" w:cs="Times New Roman"/>
          <w:color w:val="auto"/>
          <w:kern w:val="18"/>
          <w:lang w:eastAsia="cs-CZ" w:bidi="ar-SA"/>
        </w:rPr>
        <w:tab/>
        <w:t>11791667</w:t>
      </w:r>
    </w:p>
    <w:p w14:paraId="6B119AE7" w14:textId="77777777" w:rsidR="00321F99" w:rsidRPr="00321F99" w:rsidRDefault="00321F99" w:rsidP="00321F99">
      <w:pPr>
        <w:widowControl/>
        <w:tabs>
          <w:tab w:val="left" w:pos="2268"/>
        </w:tabs>
        <w:suppressAutoHyphens w:val="0"/>
        <w:autoSpaceDE w:val="0"/>
        <w:autoSpaceDN w:val="0"/>
        <w:adjustRightInd w:val="0"/>
        <w:ind w:left="426"/>
        <w:jc w:val="both"/>
        <w:rPr>
          <w:rFonts w:ascii="Cambria" w:eastAsia="Times New Roman" w:hAnsi="Cambria" w:cs="Times New Roman"/>
          <w:color w:val="auto"/>
          <w:kern w:val="18"/>
          <w:lang w:eastAsia="cs-CZ" w:bidi="ar-SA"/>
        </w:rPr>
      </w:pPr>
      <w:r w:rsidRPr="00321F99">
        <w:rPr>
          <w:rFonts w:ascii="Cambria" w:eastAsia="Times New Roman" w:hAnsi="Cambria" w:cs="Times New Roman"/>
          <w:kern w:val="18"/>
          <w:lang w:eastAsia="cs-CZ" w:bidi="ar-SA"/>
        </w:rPr>
        <w:t xml:space="preserve">DIČ: </w:t>
      </w:r>
      <w:r w:rsidRPr="00321F99">
        <w:rPr>
          <w:rFonts w:ascii="Cambria" w:eastAsia="Times New Roman" w:hAnsi="Cambria" w:cs="Times New Roman"/>
          <w:kern w:val="18"/>
          <w:lang w:eastAsia="cs-CZ" w:bidi="ar-SA"/>
        </w:rPr>
        <w:tab/>
        <w:t>CZ11791667</w:t>
      </w:r>
    </w:p>
    <w:p w14:paraId="1D7081E3" w14:textId="77777777" w:rsidR="00321F99" w:rsidRPr="00321F99" w:rsidRDefault="00321F99" w:rsidP="00321F99">
      <w:pPr>
        <w:widowControl/>
        <w:tabs>
          <w:tab w:val="left" w:pos="2268"/>
        </w:tabs>
        <w:suppressAutoHyphens w:val="0"/>
        <w:autoSpaceDE w:val="0"/>
        <w:autoSpaceDN w:val="0"/>
        <w:adjustRightInd w:val="0"/>
        <w:ind w:left="426"/>
        <w:jc w:val="both"/>
        <w:rPr>
          <w:rFonts w:ascii="Cambria" w:eastAsia="Times New Roman" w:hAnsi="Cambria" w:cs="Times New Roman"/>
          <w:color w:val="auto"/>
          <w:kern w:val="18"/>
          <w:lang w:eastAsia="cs-CZ" w:bidi="ar-SA"/>
        </w:rPr>
      </w:pPr>
      <w:r w:rsidRPr="00321F99">
        <w:rPr>
          <w:rFonts w:ascii="Cambria" w:eastAsia="Times New Roman" w:hAnsi="Cambria" w:cs="Times New Roman"/>
          <w:color w:val="auto"/>
          <w:kern w:val="18"/>
          <w:lang w:eastAsia="cs-CZ" w:bidi="ar-SA"/>
        </w:rPr>
        <w:t xml:space="preserve">Zastoupení: </w:t>
      </w:r>
      <w:r w:rsidRPr="00321F99">
        <w:rPr>
          <w:rFonts w:ascii="Cambria" w:eastAsia="Times New Roman" w:hAnsi="Cambria" w:cs="Times New Roman"/>
          <w:color w:val="auto"/>
          <w:kern w:val="18"/>
          <w:lang w:eastAsia="cs-CZ" w:bidi="ar-SA"/>
        </w:rPr>
        <w:tab/>
        <w:t xml:space="preserve">Ing. Milošem </w:t>
      </w:r>
      <w:proofErr w:type="spellStart"/>
      <w:r w:rsidRPr="00321F99">
        <w:rPr>
          <w:rFonts w:ascii="Cambria" w:eastAsia="Times New Roman" w:hAnsi="Cambria" w:cs="Times New Roman"/>
          <w:color w:val="auto"/>
          <w:kern w:val="18"/>
          <w:lang w:eastAsia="cs-CZ" w:bidi="ar-SA"/>
        </w:rPr>
        <w:t>Ohlídalem</w:t>
      </w:r>
      <w:proofErr w:type="spellEnd"/>
      <w:r w:rsidRPr="00321F99">
        <w:rPr>
          <w:rFonts w:ascii="Cambria" w:eastAsia="Times New Roman" w:hAnsi="Cambria" w:cs="Times New Roman"/>
          <w:color w:val="auto"/>
          <w:kern w:val="18"/>
          <w:lang w:eastAsia="cs-CZ" w:bidi="ar-SA"/>
        </w:rPr>
        <w:t>, Ph.D., jednatelem</w:t>
      </w:r>
    </w:p>
    <w:p w14:paraId="00339F96" w14:textId="77777777" w:rsidR="00321F99" w:rsidRPr="00321F99" w:rsidRDefault="00321F99" w:rsidP="00321F99">
      <w:pPr>
        <w:widowControl/>
        <w:tabs>
          <w:tab w:val="left" w:pos="2268"/>
        </w:tabs>
        <w:suppressAutoHyphens w:val="0"/>
        <w:autoSpaceDE w:val="0"/>
        <w:autoSpaceDN w:val="0"/>
        <w:adjustRightInd w:val="0"/>
        <w:ind w:left="426"/>
        <w:jc w:val="both"/>
        <w:rPr>
          <w:rFonts w:ascii="Cambria" w:eastAsia="Times New Roman" w:hAnsi="Cambria" w:cs="Times New Roman"/>
          <w:color w:val="auto"/>
          <w:kern w:val="18"/>
          <w:lang w:eastAsia="cs-CZ" w:bidi="ar-SA"/>
        </w:rPr>
      </w:pPr>
      <w:r w:rsidRPr="00321F99">
        <w:rPr>
          <w:rFonts w:ascii="Cambria" w:eastAsia="Times New Roman" w:hAnsi="Cambria" w:cs="Times New Roman"/>
          <w:color w:val="auto"/>
          <w:kern w:val="18"/>
          <w:lang w:eastAsia="cs-CZ" w:bidi="ar-SA"/>
        </w:rPr>
        <w:tab/>
      </w:r>
    </w:p>
    <w:p w14:paraId="577DE0DB" w14:textId="77777777" w:rsidR="00321F99" w:rsidRPr="00321F99" w:rsidRDefault="00321F99" w:rsidP="00321F99">
      <w:pPr>
        <w:widowControl/>
        <w:suppressAutoHyphens w:val="0"/>
        <w:ind w:left="360"/>
        <w:jc w:val="both"/>
        <w:rPr>
          <w:rFonts w:ascii="Cambria" w:eastAsia="Times New Roman" w:hAnsi="Cambria" w:cs="Times New Roman"/>
          <w:color w:val="auto"/>
          <w:lang w:eastAsia="cs-CZ" w:bidi="ar-SA"/>
        </w:rPr>
      </w:pPr>
    </w:p>
    <w:p w14:paraId="13282793" w14:textId="77777777" w:rsidR="00321F99" w:rsidRPr="00321F99" w:rsidRDefault="00321F99" w:rsidP="00321F99">
      <w:pPr>
        <w:widowControl/>
        <w:suppressAutoHyphens w:val="0"/>
        <w:ind w:left="360"/>
        <w:jc w:val="both"/>
        <w:rPr>
          <w:rFonts w:ascii="Cambria" w:eastAsia="Times New Roman" w:hAnsi="Cambria" w:cs="Times New Roman"/>
          <w:color w:val="auto"/>
          <w:lang w:eastAsia="cs-CZ" w:bidi="ar-SA"/>
        </w:rPr>
      </w:pPr>
      <w:r w:rsidRPr="00321F99">
        <w:rPr>
          <w:rFonts w:ascii="Cambria" w:eastAsia="Times New Roman" w:hAnsi="Cambria" w:cs="Times New Roman"/>
          <w:color w:val="auto"/>
          <w:lang w:eastAsia="cs-CZ" w:bidi="ar-SA"/>
        </w:rPr>
        <w:t>(dále jen „</w:t>
      </w:r>
      <w:r w:rsidRPr="00321F99">
        <w:rPr>
          <w:rFonts w:ascii="Cambria" w:eastAsia="Times New Roman" w:hAnsi="Cambria" w:cs="Times New Roman"/>
          <w:i/>
          <w:color w:val="auto"/>
          <w:lang w:eastAsia="cs-CZ" w:bidi="ar-SA"/>
        </w:rPr>
        <w:t>Objednatel</w:t>
      </w:r>
      <w:r w:rsidRPr="00321F99">
        <w:rPr>
          <w:rFonts w:ascii="Cambria" w:eastAsia="Times New Roman" w:hAnsi="Cambria" w:cs="Times New Roman"/>
          <w:color w:val="auto"/>
          <w:lang w:eastAsia="cs-CZ" w:bidi="ar-SA"/>
        </w:rPr>
        <w:t>“)</w:t>
      </w:r>
    </w:p>
    <w:p w14:paraId="0682F77D" w14:textId="77777777" w:rsidR="00321F99" w:rsidRPr="00321F99" w:rsidRDefault="00321F99" w:rsidP="00321F99">
      <w:pPr>
        <w:suppressAutoHyphens w:val="0"/>
        <w:ind w:left="284" w:firstLine="76"/>
        <w:jc w:val="both"/>
        <w:rPr>
          <w:rFonts w:ascii="Cambria" w:eastAsia="Times New Roman" w:hAnsi="Cambria" w:cs="Times New Roman"/>
          <w:color w:val="auto"/>
          <w:lang w:eastAsia="cs-CZ" w:bidi="ar-SA"/>
        </w:rPr>
      </w:pPr>
    </w:p>
    <w:p w14:paraId="695D3C04" w14:textId="77777777" w:rsidR="00321F99" w:rsidRPr="00321F99" w:rsidRDefault="00321F99" w:rsidP="00321F99">
      <w:pPr>
        <w:suppressAutoHyphens w:val="0"/>
        <w:ind w:left="284" w:firstLine="76"/>
        <w:jc w:val="both"/>
        <w:rPr>
          <w:rFonts w:ascii="Cambria" w:eastAsia="Times New Roman" w:hAnsi="Cambria" w:cs="Times New Roman"/>
          <w:color w:val="auto"/>
          <w:lang w:eastAsia="cs-CZ" w:bidi="ar-SA"/>
        </w:rPr>
      </w:pPr>
    </w:p>
    <w:p w14:paraId="38D45BD7" w14:textId="77777777" w:rsidR="00321F99" w:rsidRPr="00321F99" w:rsidRDefault="00321F99" w:rsidP="00321F99">
      <w:pPr>
        <w:suppressAutoHyphens w:val="0"/>
        <w:ind w:left="284" w:firstLine="424"/>
        <w:jc w:val="both"/>
        <w:rPr>
          <w:rFonts w:ascii="Cambria" w:eastAsia="Times New Roman" w:hAnsi="Cambria" w:cs="Times New Roman"/>
          <w:color w:val="auto"/>
          <w:lang w:eastAsia="cs-CZ" w:bidi="ar-SA"/>
        </w:rPr>
      </w:pPr>
      <w:r w:rsidRPr="00321F99">
        <w:rPr>
          <w:rFonts w:ascii="Cambria" w:eastAsia="Times New Roman" w:hAnsi="Cambria" w:cs="Times New Roman"/>
          <w:color w:val="auto"/>
          <w:lang w:eastAsia="cs-CZ" w:bidi="ar-SA"/>
        </w:rPr>
        <w:t>a</w:t>
      </w:r>
    </w:p>
    <w:p w14:paraId="45D420A5" w14:textId="77777777" w:rsidR="00321F99" w:rsidRPr="00321F99" w:rsidRDefault="00321F99" w:rsidP="00321F99">
      <w:pPr>
        <w:suppressAutoHyphens w:val="0"/>
        <w:ind w:left="284" w:firstLine="76"/>
        <w:jc w:val="both"/>
        <w:rPr>
          <w:rFonts w:ascii="Cambria" w:eastAsia="Times New Roman" w:hAnsi="Cambria" w:cs="Times New Roman"/>
          <w:color w:val="auto"/>
          <w:lang w:eastAsia="cs-CZ" w:bidi="ar-SA"/>
        </w:rPr>
      </w:pPr>
    </w:p>
    <w:p w14:paraId="75F5361A" w14:textId="77777777" w:rsidR="00321F99" w:rsidRPr="00321F99" w:rsidRDefault="00321F99" w:rsidP="00321F99">
      <w:pPr>
        <w:suppressAutoHyphens w:val="0"/>
        <w:ind w:left="284" w:firstLine="76"/>
        <w:jc w:val="both"/>
        <w:rPr>
          <w:rFonts w:ascii="Cambria" w:eastAsia="Times New Roman" w:hAnsi="Cambria" w:cs="Times New Roman"/>
          <w:color w:val="auto"/>
          <w:lang w:eastAsia="cs-CZ" w:bidi="ar-SA"/>
        </w:rPr>
      </w:pPr>
    </w:p>
    <w:p w14:paraId="5B296D51" w14:textId="77777777" w:rsidR="00321F99" w:rsidRPr="00321F99" w:rsidRDefault="00321F99" w:rsidP="00321F99">
      <w:pPr>
        <w:suppressAutoHyphens w:val="0"/>
        <w:ind w:left="284" w:firstLine="76"/>
        <w:jc w:val="both"/>
        <w:rPr>
          <w:rFonts w:ascii="Cambria" w:eastAsia="Times New Roman" w:hAnsi="Cambria" w:cs="Times New Roman"/>
          <w:color w:val="auto"/>
          <w:highlight w:val="yellow"/>
          <w:lang w:eastAsia="cs-CZ" w:bidi="ar-SA"/>
        </w:rPr>
      </w:pPr>
      <w:r w:rsidRPr="00321F99">
        <w:rPr>
          <w:rFonts w:ascii="Cambria" w:eastAsia="Times New Roman" w:hAnsi="Cambria" w:cs="Times New Roman"/>
          <w:bCs/>
          <w:i/>
          <w:color w:val="auto"/>
          <w:szCs w:val="20"/>
          <w:highlight w:val="yellow"/>
          <w:lang w:eastAsia="cs-CZ" w:bidi="ar-SA"/>
        </w:rPr>
        <w:t>(doplní účastník)</w:t>
      </w:r>
      <w:r w:rsidRPr="00321F99">
        <w:rPr>
          <w:rFonts w:ascii="Cambria" w:eastAsia="Times New Roman" w:hAnsi="Cambria" w:cs="Times New Roman"/>
          <w:bCs/>
          <w:color w:val="auto"/>
          <w:szCs w:val="20"/>
          <w:highlight w:val="yellow"/>
          <w:lang w:eastAsia="cs-CZ" w:bidi="ar-SA"/>
        </w:rPr>
        <w:t xml:space="preserve">           </w:t>
      </w:r>
    </w:p>
    <w:p w14:paraId="5F53AF97" w14:textId="77777777" w:rsidR="00321F99" w:rsidRPr="00321F99" w:rsidRDefault="00321F99" w:rsidP="00321F99">
      <w:pPr>
        <w:tabs>
          <w:tab w:val="left" w:pos="2268"/>
        </w:tabs>
        <w:suppressAutoHyphens w:val="0"/>
        <w:ind w:left="284" w:firstLine="76"/>
        <w:jc w:val="both"/>
        <w:rPr>
          <w:rFonts w:ascii="Cambria" w:eastAsia="Times New Roman" w:hAnsi="Cambria" w:cs="Times New Roman"/>
          <w:b/>
          <w:bCs/>
          <w:color w:val="auto"/>
          <w:szCs w:val="20"/>
          <w:highlight w:val="yellow"/>
          <w:lang w:eastAsia="cs-CZ" w:bidi="ar-SA"/>
        </w:rPr>
      </w:pPr>
      <w:r w:rsidRPr="00321F99">
        <w:rPr>
          <w:rFonts w:ascii="Cambria" w:eastAsia="Times New Roman" w:hAnsi="Cambria" w:cs="Times New Roman"/>
          <w:b/>
          <w:bCs/>
          <w:color w:val="auto"/>
          <w:szCs w:val="20"/>
          <w:lang w:eastAsia="cs-CZ" w:bidi="ar-SA"/>
        </w:rPr>
        <w:t>Poskytovatel:</w:t>
      </w:r>
      <w:r w:rsidRPr="00321F99">
        <w:rPr>
          <w:rFonts w:ascii="Cambria" w:eastAsia="Times New Roman" w:hAnsi="Cambria" w:cs="Times New Roman"/>
          <w:b/>
          <w:bCs/>
          <w:color w:val="auto"/>
          <w:szCs w:val="20"/>
          <w:lang w:eastAsia="cs-CZ" w:bidi="ar-SA"/>
        </w:rPr>
        <w:tab/>
      </w:r>
      <w:r w:rsidRPr="00321F99">
        <w:rPr>
          <w:rFonts w:ascii="Cambria" w:eastAsia="Times New Roman" w:hAnsi="Cambria" w:cs="Times New Roman"/>
          <w:b/>
          <w:bCs/>
          <w:color w:val="auto"/>
          <w:szCs w:val="20"/>
          <w:highlight w:val="yellow"/>
          <w:lang w:eastAsia="cs-CZ" w:bidi="ar-SA"/>
        </w:rPr>
        <w:tab/>
      </w:r>
    </w:p>
    <w:p w14:paraId="288414AA" w14:textId="77777777" w:rsidR="00321F99" w:rsidRPr="00321F99" w:rsidRDefault="00321F99" w:rsidP="00321F99">
      <w:pPr>
        <w:tabs>
          <w:tab w:val="left" w:pos="2268"/>
        </w:tabs>
        <w:suppressAutoHyphens w:val="0"/>
        <w:ind w:left="284" w:firstLine="76"/>
        <w:jc w:val="both"/>
        <w:rPr>
          <w:rFonts w:ascii="Cambria" w:eastAsia="Times New Roman" w:hAnsi="Cambria" w:cs="Times New Roman"/>
          <w:bCs/>
          <w:color w:val="auto"/>
          <w:szCs w:val="20"/>
          <w:highlight w:val="yellow"/>
          <w:lang w:eastAsia="cs-CZ" w:bidi="ar-SA"/>
        </w:rPr>
      </w:pPr>
      <w:r w:rsidRPr="00321F99">
        <w:rPr>
          <w:rFonts w:ascii="Cambria" w:eastAsia="Times New Roman" w:hAnsi="Cambria" w:cs="Times New Roman"/>
          <w:bCs/>
          <w:color w:val="auto"/>
          <w:szCs w:val="20"/>
          <w:lang w:eastAsia="cs-CZ" w:bidi="ar-SA"/>
        </w:rPr>
        <w:t>se sídlem</w:t>
      </w:r>
      <w:r w:rsidRPr="00321F99">
        <w:rPr>
          <w:rFonts w:ascii="Cambria" w:eastAsia="Times New Roman" w:hAnsi="Cambria" w:cs="Times New Roman"/>
          <w:bCs/>
          <w:color w:val="auto"/>
          <w:szCs w:val="20"/>
          <w:lang w:eastAsia="cs-CZ" w:bidi="ar-SA"/>
        </w:rPr>
        <w:tab/>
      </w:r>
      <w:r w:rsidRPr="00321F99">
        <w:rPr>
          <w:rFonts w:ascii="Cambria" w:eastAsia="Times New Roman" w:hAnsi="Cambria" w:cs="Times New Roman"/>
          <w:bCs/>
          <w:color w:val="auto"/>
          <w:szCs w:val="20"/>
          <w:highlight w:val="yellow"/>
          <w:lang w:eastAsia="cs-CZ" w:bidi="ar-SA"/>
        </w:rPr>
        <w:tab/>
      </w:r>
    </w:p>
    <w:p w14:paraId="6E198B4E" w14:textId="77777777" w:rsidR="00321F99" w:rsidRPr="00321F99" w:rsidRDefault="00321F99" w:rsidP="00321F99">
      <w:pPr>
        <w:tabs>
          <w:tab w:val="left" w:pos="2268"/>
        </w:tabs>
        <w:suppressAutoHyphens w:val="0"/>
        <w:ind w:left="284" w:firstLine="76"/>
        <w:jc w:val="both"/>
        <w:rPr>
          <w:rFonts w:ascii="Cambria" w:eastAsia="Times New Roman" w:hAnsi="Cambria" w:cs="Times New Roman"/>
          <w:color w:val="auto"/>
          <w:spacing w:val="-3"/>
          <w:sz w:val="20"/>
          <w:szCs w:val="20"/>
          <w:highlight w:val="yellow"/>
          <w:lang w:eastAsia="cs-CZ" w:bidi="ar-SA"/>
        </w:rPr>
      </w:pPr>
      <w:r w:rsidRPr="00321F99">
        <w:rPr>
          <w:rFonts w:ascii="Cambria" w:eastAsia="Times New Roman" w:hAnsi="Cambria" w:cs="Times New Roman"/>
          <w:color w:val="auto"/>
          <w:szCs w:val="20"/>
          <w:lang w:eastAsia="cs-CZ" w:bidi="ar-SA"/>
        </w:rPr>
        <w:t xml:space="preserve">zapsaná v obchodním rejstříku vedeného </w:t>
      </w:r>
      <w:r w:rsidRPr="00321F99">
        <w:rPr>
          <w:rFonts w:ascii="Cambria" w:eastAsia="Times New Roman" w:hAnsi="Cambria" w:cs="Times New Roman"/>
          <w:color w:val="auto"/>
          <w:szCs w:val="20"/>
          <w:highlight w:val="yellow"/>
          <w:lang w:eastAsia="cs-CZ" w:bidi="ar-SA"/>
        </w:rPr>
        <w:tab/>
      </w:r>
    </w:p>
    <w:p w14:paraId="65022F76" w14:textId="77777777" w:rsidR="00321F99" w:rsidRPr="00321F99" w:rsidRDefault="00321F99" w:rsidP="00321F99">
      <w:pPr>
        <w:tabs>
          <w:tab w:val="left" w:pos="2268"/>
        </w:tabs>
        <w:suppressAutoHyphens w:val="0"/>
        <w:ind w:left="284" w:firstLine="76"/>
        <w:jc w:val="both"/>
        <w:rPr>
          <w:rFonts w:ascii="Cambria" w:eastAsia="Times New Roman" w:hAnsi="Cambria" w:cs="Times New Roman"/>
          <w:color w:val="auto"/>
          <w:szCs w:val="20"/>
          <w:highlight w:val="yellow"/>
          <w:lang w:eastAsia="cs-CZ" w:bidi="ar-SA"/>
        </w:rPr>
      </w:pPr>
      <w:r w:rsidRPr="00321F99">
        <w:rPr>
          <w:rFonts w:ascii="Cambria" w:eastAsia="Times New Roman" w:hAnsi="Cambria" w:cs="Times New Roman"/>
          <w:color w:val="auto"/>
          <w:szCs w:val="20"/>
          <w:lang w:eastAsia="cs-CZ" w:bidi="ar-SA"/>
        </w:rPr>
        <w:t>IČ:</w:t>
      </w:r>
      <w:r w:rsidRPr="00321F99">
        <w:rPr>
          <w:rFonts w:ascii="Cambria" w:eastAsia="Times New Roman" w:hAnsi="Cambria" w:cs="Times New Roman"/>
          <w:color w:val="auto"/>
          <w:szCs w:val="20"/>
          <w:lang w:eastAsia="cs-CZ" w:bidi="ar-SA"/>
        </w:rPr>
        <w:tab/>
      </w:r>
      <w:bookmarkStart w:id="1" w:name="_Hlk218853978"/>
      <w:r w:rsidRPr="00321F99">
        <w:rPr>
          <w:rFonts w:ascii="Cambria" w:eastAsia="Times New Roman" w:hAnsi="Cambria" w:cs="Times New Roman"/>
          <w:color w:val="auto"/>
          <w:szCs w:val="20"/>
          <w:highlight w:val="yellow"/>
          <w:lang w:eastAsia="cs-CZ" w:bidi="ar-SA"/>
        </w:rPr>
        <w:tab/>
      </w:r>
      <w:bookmarkEnd w:id="1"/>
    </w:p>
    <w:p w14:paraId="1FE3B316" w14:textId="77777777" w:rsidR="00321F99" w:rsidRPr="00321F99" w:rsidRDefault="00321F99" w:rsidP="00321F99">
      <w:pPr>
        <w:tabs>
          <w:tab w:val="left" w:pos="2268"/>
        </w:tabs>
        <w:suppressAutoHyphens w:val="0"/>
        <w:ind w:left="284" w:firstLine="76"/>
        <w:jc w:val="both"/>
        <w:rPr>
          <w:rFonts w:ascii="Cambria" w:eastAsia="Times New Roman" w:hAnsi="Cambria" w:cs="Times New Roman"/>
          <w:color w:val="auto"/>
          <w:szCs w:val="20"/>
          <w:highlight w:val="yellow"/>
          <w:lang w:eastAsia="cs-CZ" w:bidi="ar-SA"/>
        </w:rPr>
      </w:pPr>
      <w:r w:rsidRPr="00321F99">
        <w:rPr>
          <w:rFonts w:ascii="Cambria" w:eastAsia="Times New Roman" w:hAnsi="Cambria" w:cs="Times New Roman"/>
          <w:color w:val="auto"/>
          <w:szCs w:val="20"/>
          <w:lang w:eastAsia="cs-CZ" w:bidi="ar-SA"/>
        </w:rPr>
        <w:t>DIČ:</w:t>
      </w:r>
      <w:r w:rsidRPr="00321F99">
        <w:rPr>
          <w:rFonts w:ascii="Cambria" w:eastAsia="Times New Roman" w:hAnsi="Cambria" w:cs="Times New Roman"/>
          <w:color w:val="auto"/>
          <w:szCs w:val="20"/>
          <w:lang w:eastAsia="cs-CZ" w:bidi="ar-SA"/>
        </w:rPr>
        <w:tab/>
      </w:r>
      <w:r w:rsidRPr="00321F99">
        <w:rPr>
          <w:rFonts w:ascii="Cambria" w:eastAsia="Times New Roman" w:hAnsi="Cambria" w:cs="Times New Roman"/>
          <w:color w:val="auto"/>
          <w:szCs w:val="20"/>
          <w:highlight w:val="yellow"/>
          <w:lang w:eastAsia="cs-CZ" w:bidi="ar-SA"/>
        </w:rPr>
        <w:tab/>
      </w:r>
    </w:p>
    <w:p w14:paraId="7D5A1813" w14:textId="77777777" w:rsidR="00321F99" w:rsidRPr="00321F99" w:rsidRDefault="00321F99" w:rsidP="00321F99">
      <w:pPr>
        <w:tabs>
          <w:tab w:val="left" w:pos="2268"/>
        </w:tabs>
        <w:suppressAutoHyphens w:val="0"/>
        <w:ind w:left="284" w:firstLine="76"/>
        <w:jc w:val="both"/>
        <w:rPr>
          <w:rFonts w:ascii="Cambria" w:eastAsia="Times New Roman" w:hAnsi="Cambria" w:cs="Times New Roman"/>
          <w:color w:val="auto"/>
          <w:szCs w:val="20"/>
          <w:highlight w:val="yellow"/>
          <w:lang w:eastAsia="cs-CZ" w:bidi="ar-SA"/>
        </w:rPr>
      </w:pPr>
      <w:r w:rsidRPr="00321F99">
        <w:rPr>
          <w:rFonts w:ascii="Cambria" w:eastAsia="Times New Roman" w:hAnsi="Cambria" w:cs="Times New Roman"/>
          <w:color w:val="auto"/>
          <w:szCs w:val="20"/>
          <w:lang w:eastAsia="cs-CZ" w:bidi="ar-SA"/>
        </w:rPr>
        <w:t>bankovní spojení:</w:t>
      </w:r>
      <w:r w:rsidRPr="00321F99">
        <w:rPr>
          <w:rFonts w:ascii="Cambria" w:eastAsia="Times New Roman" w:hAnsi="Cambria" w:cs="Times New Roman"/>
          <w:color w:val="auto"/>
          <w:szCs w:val="20"/>
          <w:lang w:eastAsia="cs-CZ" w:bidi="ar-SA"/>
        </w:rPr>
        <w:tab/>
      </w:r>
      <w:r w:rsidRPr="00321F99">
        <w:rPr>
          <w:rFonts w:ascii="Cambria" w:eastAsia="Times New Roman" w:hAnsi="Cambria" w:cs="Times New Roman"/>
          <w:color w:val="auto"/>
          <w:szCs w:val="20"/>
          <w:highlight w:val="yellow"/>
          <w:lang w:eastAsia="cs-CZ" w:bidi="ar-SA"/>
        </w:rPr>
        <w:tab/>
      </w:r>
    </w:p>
    <w:p w14:paraId="045A7CE1" w14:textId="77777777" w:rsidR="00321F99" w:rsidRPr="00321F99" w:rsidRDefault="00321F99" w:rsidP="00321F99">
      <w:pPr>
        <w:tabs>
          <w:tab w:val="left" w:pos="2268"/>
        </w:tabs>
        <w:suppressAutoHyphens w:val="0"/>
        <w:ind w:left="284" w:firstLine="76"/>
        <w:jc w:val="both"/>
        <w:rPr>
          <w:rFonts w:ascii="Cambria" w:eastAsia="Times New Roman" w:hAnsi="Cambria" w:cs="Times New Roman"/>
          <w:color w:val="auto"/>
          <w:spacing w:val="-3"/>
          <w:sz w:val="20"/>
          <w:szCs w:val="20"/>
          <w:highlight w:val="yellow"/>
          <w:lang w:eastAsia="cs-CZ" w:bidi="ar-SA"/>
        </w:rPr>
      </w:pPr>
      <w:r w:rsidRPr="00321F99">
        <w:rPr>
          <w:rFonts w:ascii="Cambria" w:eastAsia="Times New Roman" w:hAnsi="Cambria" w:cs="Times New Roman"/>
          <w:color w:val="auto"/>
          <w:szCs w:val="20"/>
          <w:lang w:eastAsia="cs-CZ" w:bidi="ar-SA"/>
        </w:rPr>
        <w:t>č. účtu:</w:t>
      </w:r>
      <w:r w:rsidRPr="00321F99">
        <w:rPr>
          <w:rFonts w:ascii="Cambria" w:eastAsia="Times New Roman" w:hAnsi="Cambria" w:cs="Times New Roman"/>
          <w:color w:val="auto"/>
          <w:szCs w:val="20"/>
          <w:lang w:eastAsia="cs-CZ" w:bidi="ar-SA"/>
        </w:rPr>
        <w:tab/>
      </w:r>
      <w:r w:rsidRPr="00321F99">
        <w:rPr>
          <w:rFonts w:ascii="Cambria" w:eastAsia="Times New Roman" w:hAnsi="Cambria" w:cs="Times New Roman"/>
          <w:color w:val="auto"/>
          <w:szCs w:val="20"/>
          <w:highlight w:val="yellow"/>
          <w:lang w:eastAsia="cs-CZ" w:bidi="ar-SA"/>
        </w:rPr>
        <w:tab/>
      </w:r>
    </w:p>
    <w:p w14:paraId="1E756D7A" w14:textId="77777777" w:rsidR="00321F99" w:rsidRPr="00321F99" w:rsidRDefault="00321F99" w:rsidP="00321F99">
      <w:pPr>
        <w:tabs>
          <w:tab w:val="left" w:pos="2268"/>
        </w:tabs>
        <w:suppressAutoHyphens w:val="0"/>
        <w:ind w:left="284" w:firstLine="76"/>
        <w:jc w:val="both"/>
        <w:rPr>
          <w:rFonts w:ascii="Cambria" w:eastAsia="Times New Roman" w:hAnsi="Cambria" w:cs="Times New Roman"/>
          <w:color w:val="auto"/>
          <w:szCs w:val="20"/>
          <w:highlight w:val="yellow"/>
          <w:lang w:eastAsia="cs-CZ" w:bidi="ar-SA"/>
        </w:rPr>
      </w:pPr>
      <w:r w:rsidRPr="00321F99">
        <w:rPr>
          <w:rFonts w:ascii="Cambria" w:eastAsia="Times New Roman" w:hAnsi="Cambria" w:cs="Times New Roman"/>
          <w:color w:val="auto"/>
          <w:szCs w:val="20"/>
          <w:lang w:eastAsia="cs-CZ" w:bidi="ar-SA"/>
        </w:rPr>
        <w:t xml:space="preserve">zastoupen: </w:t>
      </w:r>
      <w:r w:rsidRPr="00321F99">
        <w:rPr>
          <w:rFonts w:ascii="Cambria" w:eastAsia="Times New Roman" w:hAnsi="Cambria" w:cs="Times New Roman"/>
          <w:color w:val="auto"/>
          <w:szCs w:val="20"/>
          <w:lang w:eastAsia="cs-CZ" w:bidi="ar-SA"/>
        </w:rPr>
        <w:tab/>
      </w:r>
      <w:r w:rsidRPr="00321F99">
        <w:rPr>
          <w:rFonts w:ascii="Cambria" w:eastAsia="Times New Roman" w:hAnsi="Cambria" w:cs="Times New Roman"/>
          <w:color w:val="auto"/>
          <w:szCs w:val="20"/>
          <w:highlight w:val="yellow"/>
          <w:lang w:eastAsia="cs-CZ" w:bidi="ar-SA"/>
        </w:rPr>
        <w:tab/>
        <w:t xml:space="preserve">          </w:t>
      </w:r>
    </w:p>
    <w:p w14:paraId="19F59B78" w14:textId="77777777" w:rsidR="00321F99" w:rsidRPr="00321F99" w:rsidRDefault="00321F99" w:rsidP="00321F99">
      <w:pPr>
        <w:suppressAutoHyphens w:val="0"/>
        <w:ind w:left="284" w:firstLine="76"/>
        <w:jc w:val="both"/>
        <w:rPr>
          <w:rFonts w:ascii="Cambria" w:eastAsia="Times New Roman" w:hAnsi="Cambria" w:cs="Times New Roman"/>
          <w:color w:val="auto"/>
          <w:szCs w:val="20"/>
          <w:lang w:eastAsia="cs-CZ" w:bidi="ar-SA"/>
        </w:rPr>
      </w:pPr>
      <w:r w:rsidRPr="00321F99">
        <w:rPr>
          <w:rFonts w:ascii="Cambria" w:eastAsia="Times New Roman" w:hAnsi="Cambria" w:cs="Times New Roman"/>
          <w:color w:val="auto"/>
          <w:szCs w:val="20"/>
          <w:lang w:eastAsia="cs-CZ" w:bidi="ar-SA"/>
        </w:rPr>
        <w:t xml:space="preserve">osoba oprávněná jednat </w:t>
      </w:r>
    </w:p>
    <w:p w14:paraId="7E59FC45" w14:textId="77777777" w:rsidR="00321F99" w:rsidRPr="00321F99" w:rsidRDefault="00321F99" w:rsidP="00321F99">
      <w:pPr>
        <w:suppressAutoHyphens w:val="0"/>
        <w:ind w:left="284" w:firstLine="76"/>
        <w:jc w:val="both"/>
        <w:rPr>
          <w:rFonts w:ascii="Cambria" w:eastAsia="Times New Roman" w:hAnsi="Cambria" w:cs="Times New Roman"/>
          <w:color w:val="auto"/>
          <w:szCs w:val="20"/>
          <w:highlight w:val="yellow"/>
          <w:lang w:eastAsia="cs-CZ" w:bidi="ar-SA"/>
        </w:rPr>
      </w:pPr>
      <w:r w:rsidRPr="00321F99">
        <w:rPr>
          <w:rFonts w:ascii="Cambria" w:eastAsia="Times New Roman" w:hAnsi="Cambria" w:cs="Times New Roman"/>
          <w:color w:val="auto"/>
          <w:szCs w:val="20"/>
          <w:lang w:eastAsia="cs-CZ" w:bidi="ar-SA"/>
        </w:rPr>
        <w:t xml:space="preserve">ve věcech technických: </w:t>
      </w:r>
      <w:r w:rsidRPr="00321F99">
        <w:rPr>
          <w:rFonts w:ascii="Cambria" w:eastAsia="Times New Roman" w:hAnsi="Cambria" w:cs="Times New Roman"/>
          <w:color w:val="auto"/>
          <w:szCs w:val="20"/>
          <w:highlight w:val="yellow"/>
          <w:lang w:eastAsia="cs-CZ" w:bidi="ar-SA"/>
        </w:rPr>
        <w:tab/>
      </w:r>
    </w:p>
    <w:p w14:paraId="5D2FCD50" w14:textId="77777777" w:rsidR="00321F99" w:rsidRPr="00321F99" w:rsidRDefault="00321F99" w:rsidP="00321F99">
      <w:pPr>
        <w:suppressAutoHyphens w:val="0"/>
        <w:ind w:left="284" w:firstLine="76"/>
        <w:jc w:val="both"/>
        <w:rPr>
          <w:rFonts w:ascii="Cambria" w:eastAsia="Times New Roman" w:hAnsi="Cambria" w:cs="Times New Roman"/>
          <w:color w:val="auto"/>
          <w:szCs w:val="20"/>
          <w:lang w:eastAsia="cs-CZ" w:bidi="ar-SA"/>
        </w:rPr>
      </w:pPr>
    </w:p>
    <w:p w14:paraId="0DE465C9" w14:textId="77777777" w:rsidR="00321F99" w:rsidRPr="00321F99" w:rsidRDefault="00321F99" w:rsidP="00321F99">
      <w:pPr>
        <w:suppressAutoHyphens w:val="0"/>
        <w:ind w:left="284" w:firstLine="76"/>
        <w:jc w:val="both"/>
        <w:rPr>
          <w:rFonts w:ascii="Cambria" w:eastAsia="Times New Roman" w:hAnsi="Cambria" w:cs="Times New Roman"/>
          <w:color w:val="auto"/>
          <w:szCs w:val="20"/>
          <w:lang w:eastAsia="cs-CZ" w:bidi="ar-SA"/>
        </w:rPr>
      </w:pPr>
      <w:r w:rsidRPr="00321F99">
        <w:rPr>
          <w:rFonts w:ascii="Cambria" w:eastAsia="Times New Roman" w:hAnsi="Cambria" w:cs="Times New Roman"/>
          <w:color w:val="auto"/>
          <w:szCs w:val="20"/>
          <w:lang w:eastAsia="cs-CZ" w:bidi="ar-SA"/>
        </w:rPr>
        <w:t>(dále jen „</w:t>
      </w:r>
      <w:r w:rsidRPr="00321F99">
        <w:rPr>
          <w:rFonts w:ascii="Cambria" w:eastAsia="Times New Roman" w:hAnsi="Cambria" w:cs="Times New Roman"/>
          <w:i/>
          <w:color w:val="auto"/>
          <w:szCs w:val="20"/>
          <w:lang w:eastAsia="cs-CZ" w:bidi="ar-SA"/>
        </w:rPr>
        <w:t>Poskytovatel</w:t>
      </w:r>
      <w:r w:rsidRPr="00321F99">
        <w:rPr>
          <w:rFonts w:ascii="Cambria" w:eastAsia="Times New Roman" w:hAnsi="Cambria" w:cs="Times New Roman"/>
          <w:color w:val="auto"/>
          <w:szCs w:val="20"/>
          <w:lang w:eastAsia="cs-CZ" w:bidi="ar-SA"/>
        </w:rPr>
        <w:t>“)</w:t>
      </w:r>
    </w:p>
    <w:bookmarkEnd w:id="0"/>
    <w:p w14:paraId="2E7A71BF" w14:textId="77777777" w:rsidR="004E4813" w:rsidRPr="00321F99" w:rsidRDefault="001039E4" w:rsidP="00321F99">
      <w:pPr>
        <w:pStyle w:val="Nadpis2"/>
        <w:jc w:val="center"/>
        <w:rPr>
          <w:rFonts w:ascii="Cambria" w:hAnsi="Cambria"/>
        </w:rPr>
      </w:pPr>
      <w:r w:rsidRPr="00321F99">
        <w:rPr>
          <w:rFonts w:ascii="Cambria" w:hAnsi="Cambria"/>
        </w:rPr>
        <w:t>II. Definice</w:t>
      </w:r>
    </w:p>
    <w:p w14:paraId="2A6A8627" w14:textId="77777777" w:rsidR="004E4813" w:rsidRPr="00321F99" w:rsidRDefault="001039E4" w:rsidP="00321F99">
      <w:pPr>
        <w:pStyle w:val="Zkladntext"/>
        <w:numPr>
          <w:ilvl w:val="0"/>
          <w:numId w:val="1"/>
        </w:numPr>
        <w:tabs>
          <w:tab w:val="left" w:pos="709"/>
        </w:tabs>
        <w:spacing w:after="0"/>
        <w:jc w:val="both"/>
        <w:rPr>
          <w:rFonts w:ascii="Cambria" w:hAnsi="Cambria"/>
        </w:rPr>
      </w:pPr>
      <w:r w:rsidRPr="00321F99">
        <w:rPr>
          <w:rStyle w:val="Siln"/>
          <w:rFonts w:ascii="Cambria" w:hAnsi="Cambria"/>
        </w:rPr>
        <w:t>EIP</w:t>
      </w:r>
      <w:r w:rsidRPr="00321F99">
        <w:rPr>
          <w:rFonts w:ascii="Cambria" w:hAnsi="Cambria"/>
        </w:rPr>
        <w:t xml:space="preserve"> znamená </w:t>
      </w:r>
      <w:proofErr w:type="spellStart"/>
      <w:r w:rsidRPr="00321F99">
        <w:rPr>
          <w:rFonts w:ascii="Cambria" w:hAnsi="Cambria"/>
        </w:rPr>
        <w:t>Embedded</w:t>
      </w:r>
      <w:proofErr w:type="spellEnd"/>
      <w:r w:rsidRPr="00321F99">
        <w:rPr>
          <w:rFonts w:ascii="Cambria" w:hAnsi="Cambria"/>
        </w:rPr>
        <w:t xml:space="preserve"> </w:t>
      </w:r>
      <w:proofErr w:type="spellStart"/>
      <w:r w:rsidRPr="00321F99">
        <w:rPr>
          <w:rFonts w:ascii="Cambria" w:hAnsi="Cambria"/>
        </w:rPr>
        <w:t>IoT</w:t>
      </w:r>
      <w:proofErr w:type="spellEnd"/>
      <w:r w:rsidRPr="00321F99">
        <w:rPr>
          <w:rFonts w:ascii="Cambria" w:hAnsi="Cambria"/>
        </w:rPr>
        <w:t xml:space="preserve"> </w:t>
      </w:r>
      <w:proofErr w:type="spellStart"/>
      <w:r w:rsidRPr="00321F99">
        <w:rPr>
          <w:rFonts w:ascii="Cambria" w:hAnsi="Cambria"/>
        </w:rPr>
        <w:t>Platform</w:t>
      </w:r>
      <w:proofErr w:type="spellEnd"/>
      <w:r w:rsidRPr="00321F99">
        <w:rPr>
          <w:rFonts w:ascii="Cambria" w:hAnsi="Cambria"/>
        </w:rPr>
        <w:t xml:space="preserve"> a související aplikace a komponenty v rozsahu dle Přílohy č. 1. </w:t>
      </w:r>
    </w:p>
    <w:p w14:paraId="53A950DF" w14:textId="77777777" w:rsidR="004E4813" w:rsidRPr="00321F99" w:rsidRDefault="001039E4" w:rsidP="00321F99">
      <w:pPr>
        <w:pStyle w:val="Zkladntext"/>
        <w:numPr>
          <w:ilvl w:val="0"/>
          <w:numId w:val="1"/>
        </w:numPr>
        <w:tabs>
          <w:tab w:val="left" w:pos="709"/>
        </w:tabs>
        <w:spacing w:after="0"/>
        <w:jc w:val="both"/>
        <w:rPr>
          <w:rFonts w:ascii="Cambria" w:hAnsi="Cambria"/>
        </w:rPr>
      </w:pPr>
      <w:r w:rsidRPr="00321F99">
        <w:rPr>
          <w:rStyle w:val="Siln"/>
          <w:rFonts w:ascii="Cambria" w:hAnsi="Cambria"/>
        </w:rPr>
        <w:t>Služby</w:t>
      </w:r>
      <w:r w:rsidRPr="00321F99">
        <w:rPr>
          <w:rFonts w:ascii="Cambria" w:hAnsi="Cambria"/>
        </w:rPr>
        <w:t xml:space="preserve"> znamenají testovací služby dle této smlouvy a Přílohy č. 1. </w:t>
      </w:r>
    </w:p>
    <w:p w14:paraId="21905886" w14:textId="77777777" w:rsidR="004E4813" w:rsidRPr="00321F99" w:rsidRDefault="001039E4" w:rsidP="00321F99">
      <w:pPr>
        <w:pStyle w:val="Zkladntext"/>
        <w:numPr>
          <w:ilvl w:val="0"/>
          <w:numId w:val="1"/>
        </w:numPr>
        <w:tabs>
          <w:tab w:val="left" w:pos="709"/>
        </w:tabs>
        <w:spacing w:after="0"/>
        <w:jc w:val="both"/>
        <w:rPr>
          <w:rFonts w:ascii="Cambria" w:hAnsi="Cambria"/>
        </w:rPr>
      </w:pPr>
      <w:r w:rsidRPr="00321F99">
        <w:rPr>
          <w:rStyle w:val="Siln"/>
          <w:rFonts w:ascii="Cambria" w:hAnsi="Cambria"/>
        </w:rPr>
        <w:t>Výstupy</w:t>
      </w:r>
      <w:r w:rsidRPr="00321F99">
        <w:rPr>
          <w:rFonts w:ascii="Cambria" w:hAnsi="Cambria"/>
        </w:rPr>
        <w:t xml:space="preserve"> znamenají hmotné a nehmotné výsledky poskytnutých Služeb, zejména testovací strategie, testovací scénáře, </w:t>
      </w:r>
      <w:proofErr w:type="spellStart"/>
      <w:r w:rsidRPr="00321F99">
        <w:rPr>
          <w:rFonts w:ascii="Cambria" w:hAnsi="Cambria"/>
        </w:rPr>
        <w:t>FitNesse</w:t>
      </w:r>
      <w:proofErr w:type="spellEnd"/>
      <w:r w:rsidRPr="00321F99">
        <w:rPr>
          <w:rFonts w:ascii="Cambria" w:hAnsi="Cambria"/>
        </w:rPr>
        <w:t xml:space="preserve"> test </w:t>
      </w:r>
      <w:proofErr w:type="spellStart"/>
      <w:r w:rsidRPr="00321F99">
        <w:rPr>
          <w:rFonts w:ascii="Cambria" w:hAnsi="Cambria"/>
        </w:rPr>
        <w:t>suite</w:t>
      </w:r>
      <w:proofErr w:type="spellEnd"/>
      <w:r w:rsidRPr="00321F99">
        <w:rPr>
          <w:rFonts w:ascii="Cambria" w:hAnsi="Cambria"/>
        </w:rPr>
        <w:t xml:space="preserve"> (stránky, skripty, </w:t>
      </w:r>
      <w:proofErr w:type="spellStart"/>
      <w:r w:rsidRPr="00321F99">
        <w:rPr>
          <w:rFonts w:ascii="Cambria" w:hAnsi="Cambria"/>
        </w:rPr>
        <w:t>fixtures</w:t>
      </w:r>
      <w:proofErr w:type="spellEnd"/>
      <w:r w:rsidRPr="00321F99">
        <w:rPr>
          <w:rFonts w:ascii="Cambria" w:hAnsi="Cambria"/>
        </w:rPr>
        <w:t xml:space="preserve">), konfigurace, testovací data (je-li relevantní), reporty a přehledy PASS/FAIL, seznam zjištěných nedostatků a doporučení. </w:t>
      </w:r>
    </w:p>
    <w:p w14:paraId="39A0DA88" w14:textId="77777777" w:rsidR="004E4813" w:rsidRPr="00321F99" w:rsidRDefault="001039E4" w:rsidP="00321F99">
      <w:pPr>
        <w:pStyle w:val="Zkladntext"/>
        <w:numPr>
          <w:ilvl w:val="0"/>
          <w:numId w:val="1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Style w:val="Siln"/>
          <w:rFonts w:ascii="Cambria" w:hAnsi="Cambria"/>
        </w:rPr>
        <w:t>CI/CD prostředí</w:t>
      </w:r>
      <w:r w:rsidRPr="00321F99">
        <w:rPr>
          <w:rFonts w:ascii="Cambria" w:hAnsi="Cambria"/>
        </w:rPr>
        <w:t xml:space="preserve"> znamená prostředí kontinuální integrace a kontinuálního doručování určené Objednatelem. </w:t>
      </w:r>
    </w:p>
    <w:p w14:paraId="6AEC62AE" w14:textId="77777777" w:rsidR="004E4813" w:rsidRPr="00321F99" w:rsidRDefault="001039E4" w:rsidP="00321F99">
      <w:pPr>
        <w:pStyle w:val="Nadpis2"/>
        <w:jc w:val="center"/>
        <w:rPr>
          <w:rFonts w:ascii="Cambria" w:hAnsi="Cambria"/>
        </w:rPr>
      </w:pPr>
      <w:r w:rsidRPr="00321F99">
        <w:rPr>
          <w:rFonts w:ascii="Cambria" w:hAnsi="Cambria"/>
        </w:rPr>
        <w:lastRenderedPageBreak/>
        <w:t>III. Účel a předmět smlouvy</w:t>
      </w:r>
    </w:p>
    <w:p w14:paraId="09928DCC" w14:textId="77777777" w:rsidR="004E4813" w:rsidRPr="00321F99" w:rsidRDefault="001039E4" w:rsidP="00321F99">
      <w:pPr>
        <w:pStyle w:val="Zkladntext"/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Účelem této smlouvy je zajištění kompletních testovacích služeb pro </w:t>
      </w:r>
      <w:proofErr w:type="spellStart"/>
      <w:r w:rsidRPr="00321F99">
        <w:rPr>
          <w:rStyle w:val="Siln"/>
          <w:rFonts w:ascii="Cambria" w:hAnsi="Cambria"/>
        </w:rPr>
        <w:t>Embedded</w:t>
      </w:r>
      <w:proofErr w:type="spellEnd"/>
      <w:r w:rsidRPr="00321F99">
        <w:rPr>
          <w:rStyle w:val="Siln"/>
          <w:rFonts w:ascii="Cambria" w:hAnsi="Cambria"/>
        </w:rPr>
        <w:t xml:space="preserve"> </w:t>
      </w:r>
      <w:proofErr w:type="spellStart"/>
      <w:r w:rsidRPr="00321F99">
        <w:rPr>
          <w:rStyle w:val="Siln"/>
          <w:rFonts w:ascii="Cambria" w:hAnsi="Cambria"/>
        </w:rPr>
        <w:t>IoT</w:t>
      </w:r>
      <w:proofErr w:type="spellEnd"/>
      <w:r w:rsidRPr="00321F99">
        <w:rPr>
          <w:rStyle w:val="Siln"/>
          <w:rFonts w:ascii="Cambria" w:hAnsi="Cambria"/>
        </w:rPr>
        <w:t xml:space="preserve"> </w:t>
      </w:r>
      <w:proofErr w:type="spellStart"/>
      <w:r w:rsidRPr="00321F99">
        <w:rPr>
          <w:rStyle w:val="Siln"/>
          <w:rFonts w:ascii="Cambria" w:hAnsi="Cambria"/>
        </w:rPr>
        <w:t>Platform</w:t>
      </w:r>
      <w:proofErr w:type="spellEnd"/>
      <w:r w:rsidRPr="00321F99">
        <w:rPr>
          <w:rStyle w:val="Siln"/>
          <w:rFonts w:ascii="Cambria" w:hAnsi="Cambria"/>
        </w:rPr>
        <w:t xml:space="preserve"> (EIP) a související aplikace</w:t>
      </w:r>
      <w:r w:rsidRPr="00321F99">
        <w:rPr>
          <w:rFonts w:ascii="Cambria" w:hAnsi="Cambria"/>
        </w:rPr>
        <w:t xml:space="preserve">, zejména </w:t>
      </w:r>
      <w:r w:rsidRPr="00321F99">
        <w:rPr>
          <w:rStyle w:val="Siln"/>
          <w:rFonts w:ascii="Cambria" w:hAnsi="Cambria"/>
        </w:rPr>
        <w:t>automatizované integrační a systémové testy</w:t>
      </w:r>
      <w:r w:rsidRPr="00321F99">
        <w:rPr>
          <w:rFonts w:ascii="Cambria" w:hAnsi="Cambria"/>
        </w:rPr>
        <w:t xml:space="preserve">, v rozsahu uvedeném v této smlouvě a v </w:t>
      </w:r>
      <w:r w:rsidRPr="00321F99">
        <w:rPr>
          <w:rStyle w:val="Siln"/>
          <w:rFonts w:ascii="Cambria" w:hAnsi="Cambria"/>
        </w:rPr>
        <w:t>Příloze č. 1 (Technická specifikace plnění)</w:t>
      </w:r>
      <w:r w:rsidRPr="00321F99">
        <w:rPr>
          <w:rFonts w:ascii="Cambria" w:hAnsi="Cambria"/>
        </w:rPr>
        <w:t>.</w:t>
      </w:r>
    </w:p>
    <w:p w14:paraId="565683D4" w14:textId="77777777" w:rsidR="004E4813" w:rsidRPr="00321F99" w:rsidRDefault="001039E4" w:rsidP="00321F99">
      <w:pPr>
        <w:pStyle w:val="Zkladntext"/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>Poskytovatel se zavazuje poskytovat Objednateli Služby tak, aby bylo ověřeno, že EIP a navázané komponenty splňují požadavky na funkčnost, bezpečnost, stabilitu, kompatibilitu a dlouhodobý provoz (v rozsahu dle Přílohy č. 1).</w:t>
      </w:r>
    </w:p>
    <w:p w14:paraId="500C491C" w14:textId="77777777" w:rsidR="004E4813" w:rsidRPr="00321F99" w:rsidRDefault="001039E4" w:rsidP="00321F99">
      <w:pPr>
        <w:pStyle w:val="Zkladntext"/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Smluvní strany výslovně sjednávají, že předmětem této smlouvy není vývoj ani „předání díla“ spočívajícího ve vytvoření určitého softwarového produktu; předmětem je </w:t>
      </w:r>
      <w:r w:rsidRPr="00321F99">
        <w:rPr>
          <w:rStyle w:val="Siln"/>
          <w:rFonts w:ascii="Cambria" w:hAnsi="Cambria"/>
        </w:rPr>
        <w:t>poskytování testovacích služeb</w:t>
      </w:r>
      <w:r w:rsidRPr="00321F99">
        <w:rPr>
          <w:rFonts w:ascii="Cambria" w:hAnsi="Cambria"/>
        </w:rPr>
        <w:t xml:space="preserve"> a předávání </w:t>
      </w:r>
      <w:r w:rsidRPr="00321F99">
        <w:rPr>
          <w:rStyle w:val="Siln"/>
          <w:rFonts w:ascii="Cambria" w:hAnsi="Cambria"/>
        </w:rPr>
        <w:t>Výstupů</w:t>
      </w:r>
      <w:r w:rsidRPr="00321F99">
        <w:rPr>
          <w:rFonts w:ascii="Cambria" w:hAnsi="Cambria"/>
        </w:rPr>
        <w:t>.</w:t>
      </w:r>
    </w:p>
    <w:p w14:paraId="025DA2FF" w14:textId="77777777" w:rsidR="004E4813" w:rsidRPr="00321F99" w:rsidRDefault="001039E4" w:rsidP="00321F99">
      <w:pPr>
        <w:pStyle w:val="Zkladntext"/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Poskytovatel bude Služby poskytovat zejména pro tyto okruhy (stručný přehled; závazný rozsah je v Příloze č. 1): a) testování základního stavebního kamene EIP – Base </w:t>
      </w:r>
      <w:proofErr w:type="spellStart"/>
      <w:r w:rsidRPr="00321F99">
        <w:rPr>
          <w:rFonts w:ascii="Cambria" w:hAnsi="Cambria"/>
        </w:rPr>
        <w:t>System</w:t>
      </w:r>
      <w:proofErr w:type="spellEnd"/>
      <w:r w:rsidRPr="00321F99">
        <w:rPr>
          <w:rFonts w:ascii="Cambria" w:hAnsi="Cambria"/>
        </w:rPr>
        <w:t xml:space="preserve"> (BS) včetně ověření funkčnosti se SSH přístupem a správného sestavení/instalace/běhu na cílovém HW, b) testování funkčních vlastností BS (periferie, fast </w:t>
      </w:r>
      <w:proofErr w:type="spellStart"/>
      <w:r w:rsidRPr="00321F99">
        <w:rPr>
          <w:rFonts w:ascii="Cambria" w:hAnsi="Cambria"/>
        </w:rPr>
        <w:t>boot</w:t>
      </w:r>
      <w:proofErr w:type="spellEnd"/>
      <w:r w:rsidRPr="00321F99">
        <w:rPr>
          <w:rFonts w:ascii="Cambria" w:hAnsi="Cambria"/>
        </w:rPr>
        <w:t xml:space="preserve">, A/B aktualizace, </w:t>
      </w:r>
      <w:proofErr w:type="spellStart"/>
      <w:r w:rsidRPr="00321F99">
        <w:rPr>
          <w:rFonts w:ascii="Cambria" w:hAnsi="Cambria"/>
        </w:rPr>
        <w:t>factory</w:t>
      </w:r>
      <w:proofErr w:type="spellEnd"/>
      <w:r w:rsidRPr="00321F99">
        <w:rPr>
          <w:rFonts w:ascii="Cambria" w:hAnsi="Cambria"/>
        </w:rPr>
        <w:t xml:space="preserve"> reset), c) testování HW platforem a ovladačů pro architektury ARM, x86, NVIDIA TEGRA a konzistence chování, d) testování správy certifikátů (distribuce, obnova, revokace, komunikace s </w:t>
      </w:r>
      <w:proofErr w:type="spellStart"/>
      <w:r w:rsidRPr="00321F99">
        <w:rPr>
          <w:rFonts w:ascii="Cambria" w:hAnsi="Cambria"/>
        </w:rPr>
        <w:t>backendem</w:t>
      </w:r>
      <w:proofErr w:type="spellEnd"/>
      <w:r w:rsidRPr="00321F99">
        <w:rPr>
          <w:rFonts w:ascii="Cambria" w:hAnsi="Cambria"/>
        </w:rPr>
        <w:t xml:space="preserve">, chování při </w:t>
      </w:r>
      <w:proofErr w:type="spellStart"/>
      <w:r w:rsidRPr="00321F99">
        <w:rPr>
          <w:rFonts w:ascii="Cambria" w:hAnsi="Cambria"/>
        </w:rPr>
        <w:t>expirovaných</w:t>
      </w:r>
      <w:proofErr w:type="spellEnd"/>
      <w:r w:rsidRPr="00321F99">
        <w:rPr>
          <w:rFonts w:ascii="Cambria" w:hAnsi="Cambria"/>
        </w:rPr>
        <w:t xml:space="preserve">/kompromitovaných certifikátech), e) testování aplikace pro periodické skenování zranitelností (detekce, rizika, reporty, konzistence výsledků), f) testování OSS </w:t>
      </w:r>
      <w:proofErr w:type="spellStart"/>
      <w:r w:rsidRPr="00321F99">
        <w:rPr>
          <w:rFonts w:ascii="Cambria" w:hAnsi="Cambria"/>
        </w:rPr>
        <w:t>compliance</w:t>
      </w:r>
      <w:proofErr w:type="spellEnd"/>
      <w:r w:rsidRPr="00321F99">
        <w:rPr>
          <w:rFonts w:ascii="Cambria" w:hAnsi="Cambria"/>
        </w:rPr>
        <w:t xml:space="preserve"> aplikace (identifikace OSS komponent/licencí, vyhodnocení povinností, výstupy/reporty), g) testování kryptografické a licenční infrastruktury (správa klíčů, aktivace a ověřování licencí, podepisování, ochrana proti zneužití, vazba na zařízení), h) integrační a systémové testy spolupráce komponent EIP (běžné scénáře, chybové a hraniční stavy, bezpečnostní scénáře).</w:t>
      </w:r>
    </w:p>
    <w:p w14:paraId="5D42D2B9" w14:textId="77777777" w:rsidR="004E4813" w:rsidRPr="00321F99" w:rsidRDefault="001039E4" w:rsidP="00321F99">
      <w:pPr>
        <w:pStyle w:val="Zkladntext"/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>Objednatel se zavazuje poskytnout Poskytovateli nezbytnou součinnost a uhradit cenu dle článku VII.</w:t>
      </w:r>
    </w:p>
    <w:p w14:paraId="679AE4FD" w14:textId="77777777" w:rsidR="004E4813" w:rsidRPr="00321F99" w:rsidRDefault="001039E4" w:rsidP="00321F99">
      <w:pPr>
        <w:pStyle w:val="Nadpis2"/>
        <w:jc w:val="both"/>
        <w:rPr>
          <w:rFonts w:ascii="Cambria" w:hAnsi="Cambria"/>
        </w:rPr>
      </w:pPr>
      <w:r w:rsidRPr="00321F99">
        <w:rPr>
          <w:rFonts w:ascii="Cambria" w:hAnsi="Cambria"/>
        </w:rPr>
        <w:t>IV. Obecné povinné požadavky na provádění testování</w:t>
      </w:r>
    </w:p>
    <w:p w14:paraId="3C4FB054" w14:textId="77777777" w:rsidR="004E4813" w:rsidRPr="00321F99" w:rsidRDefault="001039E4" w:rsidP="00321F99">
      <w:pPr>
        <w:pStyle w:val="Zkladntext"/>
        <w:numPr>
          <w:ilvl w:val="0"/>
          <w:numId w:val="3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Poskytovatel se zavazuje, že veškeré testy dodané v rámci Služeb budou: a) </w:t>
      </w:r>
      <w:r w:rsidRPr="00321F99">
        <w:rPr>
          <w:rStyle w:val="Siln"/>
          <w:rFonts w:ascii="Cambria" w:hAnsi="Cambria"/>
        </w:rPr>
        <w:t>plně automatizované</w:t>
      </w:r>
      <w:r w:rsidRPr="00321F99">
        <w:rPr>
          <w:rFonts w:ascii="Cambria" w:hAnsi="Cambria"/>
        </w:rPr>
        <w:t xml:space="preserve">, b) </w:t>
      </w:r>
      <w:r w:rsidRPr="00321F99">
        <w:rPr>
          <w:rStyle w:val="Siln"/>
          <w:rFonts w:ascii="Cambria" w:hAnsi="Cambria"/>
        </w:rPr>
        <w:t>reprodukovatelné</w:t>
      </w:r>
      <w:r w:rsidRPr="00321F99">
        <w:rPr>
          <w:rFonts w:ascii="Cambria" w:hAnsi="Cambria"/>
        </w:rPr>
        <w:t xml:space="preserve">, c) </w:t>
      </w:r>
      <w:r w:rsidRPr="00321F99">
        <w:rPr>
          <w:rStyle w:val="Siln"/>
          <w:rFonts w:ascii="Cambria" w:hAnsi="Cambria"/>
        </w:rPr>
        <w:t>opakovaně spustitelné v CI/CD prostředí</w:t>
      </w:r>
      <w:r w:rsidRPr="00321F99">
        <w:rPr>
          <w:rFonts w:ascii="Cambria" w:hAnsi="Cambria"/>
        </w:rPr>
        <w:t>.</w:t>
      </w:r>
    </w:p>
    <w:p w14:paraId="582C4800" w14:textId="77777777" w:rsidR="004E4813" w:rsidRPr="00321F99" w:rsidRDefault="001039E4" w:rsidP="00321F99">
      <w:pPr>
        <w:pStyle w:val="Zkladntext"/>
        <w:numPr>
          <w:ilvl w:val="0"/>
          <w:numId w:val="3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Poskytovatel se zavazuje, že testování bude realizováno </w:t>
      </w:r>
      <w:r w:rsidRPr="00321F99">
        <w:rPr>
          <w:rStyle w:val="Siln"/>
          <w:rFonts w:ascii="Cambria" w:hAnsi="Cambria"/>
        </w:rPr>
        <w:t xml:space="preserve">výhradně s využitím testovacího frameworku </w:t>
      </w:r>
      <w:proofErr w:type="spellStart"/>
      <w:r w:rsidRPr="00321F99">
        <w:rPr>
          <w:rStyle w:val="Siln"/>
          <w:rFonts w:ascii="Cambria" w:hAnsi="Cambria"/>
        </w:rPr>
        <w:t>FitNesse</w:t>
      </w:r>
      <w:proofErr w:type="spellEnd"/>
      <w:r w:rsidRPr="00321F99">
        <w:rPr>
          <w:rFonts w:ascii="Cambria" w:hAnsi="Cambria"/>
        </w:rPr>
        <w:t>.</w:t>
      </w:r>
    </w:p>
    <w:p w14:paraId="35D31EC3" w14:textId="77777777" w:rsidR="004E4813" w:rsidRPr="00321F99" w:rsidRDefault="001039E4" w:rsidP="00321F99">
      <w:pPr>
        <w:pStyle w:val="Zkladntext"/>
        <w:numPr>
          <w:ilvl w:val="0"/>
          <w:numId w:val="3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Poskytovatel se zavazuje, že veškeré: a) testovací scénáře, b) testovací skripty, c) komentáře, d) dokumentace testů a výsledků, budou vypracovány </w:t>
      </w:r>
      <w:r w:rsidRPr="00321F99">
        <w:rPr>
          <w:rStyle w:val="Siln"/>
          <w:rFonts w:ascii="Cambria" w:hAnsi="Cambria"/>
        </w:rPr>
        <w:t>v anglickém jazyce</w:t>
      </w:r>
      <w:r w:rsidRPr="00321F99">
        <w:rPr>
          <w:rFonts w:ascii="Cambria" w:hAnsi="Cambria"/>
        </w:rPr>
        <w:t>.</w:t>
      </w:r>
    </w:p>
    <w:p w14:paraId="7F4FF4DB" w14:textId="77777777" w:rsidR="004E4813" w:rsidRPr="00321F99" w:rsidRDefault="001039E4" w:rsidP="00321F99">
      <w:pPr>
        <w:pStyle w:val="Zkladntext"/>
        <w:numPr>
          <w:ilvl w:val="0"/>
          <w:numId w:val="3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Poskytovatel se zavazuje, že výsledky testů budou </w:t>
      </w:r>
      <w:r w:rsidRPr="00321F99">
        <w:rPr>
          <w:rStyle w:val="Siln"/>
          <w:rFonts w:ascii="Cambria" w:hAnsi="Cambria"/>
        </w:rPr>
        <w:t>systematicky ukládány a archivovány</w:t>
      </w:r>
      <w:r w:rsidRPr="00321F99">
        <w:rPr>
          <w:rFonts w:ascii="Cambria" w:hAnsi="Cambria"/>
        </w:rPr>
        <w:t xml:space="preserve"> způsobem dohodnutým s Objednatelem, minimálně však tak, aby byla dohledatelná vazba mezi: a) konkrétní verzí testovaného artefaktu (build/</w:t>
      </w:r>
      <w:proofErr w:type="spellStart"/>
      <w:r w:rsidRPr="00321F99">
        <w:rPr>
          <w:rFonts w:ascii="Cambria" w:hAnsi="Cambria"/>
        </w:rPr>
        <w:t>release</w:t>
      </w:r>
      <w:proofErr w:type="spellEnd"/>
      <w:r w:rsidRPr="00321F99">
        <w:rPr>
          <w:rFonts w:ascii="Cambria" w:hAnsi="Cambria"/>
        </w:rPr>
        <w:t>), b) konkrétním během testů, c) výsledkem PASS/FAIL, d) logy a dalšími podklady.</w:t>
      </w:r>
    </w:p>
    <w:p w14:paraId="3971637B" w14:textId="77777777" w:rsidR="004E4813" w:rsidRPr="00321F99" w:rsidRDefault="001039E4" w:rsidP="00321F99">
      <w:pPr>
        <w:pStyle w:val="Nadpis2"/>
        <w:jc w:val="both"/>
        <w:rPr>
          <w:rFonts w:ascii="Cambria" w:hAnsi="Cambria"/>
        </w:rPr>
      </w:pPr>
      <w:r w:rsidRPr="00321F99">
        <w:rPr>
          <w:rFonts w:ascii="Cambria" w:hAnsi="Cambria"/>
        </w:rPr>
        <w:t>V. Spolupráce, komunikace a součinnost</w:t>
      </w:r>
    </w:p>
    <w:p w14:paraId="4E022B24" w14:textId="77777777" w:rsidR="004E4813" w:rsidRPr="00321F99" w:rsidRDefault="001039E4" w:rsidP="00321F99">
      <w:pPr>
        <w:pStyle w:val="Zkladntext"/>
        <w:numPr>
          <w:ilvl w:val="0"/>
          <w:numId w:val="4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>Oprávněné osoby:</w:t>
      </w:r>
    </w:p>
    <w:p w14:paraId="443DEC87" w14:textId="4B789AFE" w:rsidR="004E4813" w:rsidRPr="00321F99" w:rsidRDefault="001039E4" w:rsidP="00321F99">
      <w:pPr>
        <w:pStyle w:val="Zkladntext"/>
        <w:numPr>
          <w:ilvl w:val="1"/>
          <w:numId w:val="4"/>
        </w:numPr>
        <w:tabs>
          <w:tab w:val="left" w:pos="1418"/>
        </w:tabs>
        <w:spacing w:after="0"/>
        <w:jc w:val="both"/>
        <w:rPr>
          <w:rFonts w:ascii="Cambria" w:hAnsi="Cambria"/>
        </w:rPr>
      </w:pPr>
      <w:r w:rsidRPr="00321F99">
        <w:rPr>
          <w:rFonts w:ascii="Cambria" w:hAnsi="Cambria"/>
        </w:rPr>
        <w:lastRenderedPageBreak/>
        <w:t xml:space="preserve">za Objednatele: </w:t>
      </w:r>
      <w:r w:rsidR="00321F99">
        <w:rPr>
          <w:rFonts w:ascii="Cambria" w:hAnsi="Cambria"/>
        </w:rPr>
        <w:t xml:space="preserve">……… </w:t>
      </w:r>
      <w:r w:rsidR="00321F99">
        <w:rPr>
          <w:rFonts w:ascii="Cambria" w:hAnsi="Cambria"/>
          <w:i/>
          <w:iCs/>
        </w:rPr>
        <w:t>(bude doplněno před podpisem smlouvy)</w:t>
      </w:r>
      <w:r w:rsidRPr="00321F99">
        <w:rPr>
          <w:rFonts w:ascii="Cambria" w:hAnsi="Cambria"/>
        </w:rPr>
        <w:t xml:space="preserve"> </w:t>
      </w:r>
    </w:p>
    <w:p w14:paraId="16A7D8D4" w14:textId="432DF969" w:rsidR="004E4813" w:rsidRPr="00321F99" w:rsidRDefault="001039E4" w:rsidP="00321F99">
      <w:pPr>
        <w:pStyle w:val="Zkladntext"/>
        <w:numPr>
          <w:ilvl w:val="1"/>
          <w:numId w:val="4"/>
        </w:numPr>
        <w:tabs>
          <w:tab w:val="left" w:pos="1418"/>
        </w:tabs>
        <w:spacing w:after="0"/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za Poskytovatele: </w:t>
      </w:r>
      <w:r w:rsidR="00321F99" w:rsidRPr="00321F99">
        <w:rPr>
          <w:rFonts w:ascii="Cambria" w:eastAsia="Times New Roman" w:hAnsi="Cambria" w:cs="Times New Roman"/>
          <w:szCs w:val="20"/>
          <w:highlight w:val="yellow"/>
          <w:lang w:eastAsia="cs-CZ" w:bidi="ar-SA"/>
        </w:rPr>
        <w:t>…………</w:t>
      </w:r>
    </w:p>
    <w:p w14:paraId="4035F211" w14:textId="77777777" w:rsidR="004E4813" w:rsidRPr="00321F99" w:rsidRDefault="001039E4" w:rsidP="00321F99">
      <w:pPr>
        <w:pStyle w:val="Zkladntext"/>
        <w:numPr>
          <w:ilvl w:val="0"/>
          <w:numId w:val="4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Poskytovatel je povinen průběžně komunikovat zjištění z testování, zejména kritické nedostatky a </w:t>
      </w:r>
      <w:proofErr w:type="spellStart"/>
      <w:r w:rsidRPr="00321F99">
        <w:rPr>
          <w:rFonts w:ascii="Cambria" w:hAnsi="Cambria"/>
        </w:rPr>
        <w:t>blokery</w:t>
      </w:r>
      <w:proofErr w:type="spellEnd"/>
      <w:r w:rsidRPr="00321F99">
        <w:rPr>
          <w:rFonts w:ascii="Cambria" w:hAnsi="Cambria"/>
        </w:rPr>
        <w:t>, bez zbytečného odkladu.</w:t>
      </w:r>
    </w:p>
    <w:p w14:paraId="709440BA" w14:textId="77777777" w:rsidR="004E4813" w:rsidRPr="00321F99" w:rsidRDefault="001039E4" w:rsidP="00321F99">
      <w:pPr>
        <w:pStyle w:val="Zkladntext"/>
        <w:numPr>
          <w:ilvl w:val="0"/>
          <w:numId w:val="4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>Objednatel zajistí Poskytovateli součinnost zejména formou: a) přístupů do testovacích prostředí (vč. SSH, pokud je vyžadováno), b) poskytnutí popisu testovaných integračních vazeb / API / rozhraní, c) poskytnutí relevantních HW platforem nebo přístupů k nim (je-li relevantní), d) poskytnutí pravidel pro práci s testovacími daty a bezpečnostních pravidel, e) určení kontaktních osob.</w:t>
      </w:r>
    </w:p>
    <w:p w14:paraId="02841583" w14:textId="77777777" w:rsidR="004E4813" w:rsidRPr="00321F99" w:rsidRDefault="001039E4" w:rsidP="00321F99">
      <w:pPr>
        <w:pStyle w:val="Zkladntext"/>
        <w:numPr>
          <w:ilvl w:val="0"/>
          <w:numId w:val="4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>Pokud Poskytovateli vznikne prodlení v důsledku neposkytnutí součinnosti dle tohoto článku, termíny se přiměřeně posouvají; o posunu Poskytovatel Objednatele prokazatelně informuje.</w:t>
      </w:r>
    </w:p>
    <w:p w14:paraId="2039F279" w14:textId="77777777" w:rsidR="004E4813" w:rsidRPr="00321F99" w:rsidRDefault="001039E4" w:rsidP="00B444A8">
      <w:pPr>
        <w:pStyle w:val="Nadpis2"/>
        <w:jc w:val="center"/>
        <w:rPr>
          <w:rFonts w:ascii="Cambria" w:hAnsi="Cambria"/>
        </w:rPr>
      </w:pPr>
      <w:r w:rsidRPr="00321F99">
        <w:rPr>
          <w:rFonts w:ascii="Cambria" w:hAnsi="Cambria"/>
        </w:rPr>
        <w:t>VI. Výstupy, dokumentace, předání a akceptace</w:t>
      </w:r>
    </w:p>
    <w:p w14:paraId="6A17C20E" w14:textId="74B61D60" w:rsidR="004E4813" w:rsidRPr="00321F99" w:rsidRDefault="001039E4" w:rsidP="00321F99">
      <w:pPr>
        <w:pStyle w:val="Zkladntext"/>
        <w:numPr>
          <w:ilvl w:val="0"/>
          <w:numId w:val="5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>Poskytovatel se zavazuje předávat Výstupy průběžně dle Příloh č.</w:t>
      </w:r>
      <w:r w:rsidR="008075A0">
        <w:rPr>
          <w:rFonts w:ascii="Cambria" w:hAnsi="Cambria"/>
        </w:rPr>
        <w:t xml:space="preserve"> 1 a</w:t>
      </w:r>
      <w:r w:rsidRPr="00321F99">
        <w:rPr>
          <w:rFonts w:ascii="Cambria" w:hAnsi="Cambria"/>
        </w:rPr>
        <w:t xml:space="preserve"> 2.</w:t>
      </w:r>
    </w:p>
    <w:p w14:paraId="2C7C8979" w14:textId="77777777" w:rsidR="004E4813" w:rsidRPr="00321F99" w:rsidRDefault="001039E4" w:rsidP="00321F99">
      <w:pPr>
        <w:pStyle w:val="Zkladntext"/>
        <w:numPr>
          <w:ilvl w:val="0"/>
          <w:numId w:val="5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>Minimální obsah dokumentace testů a výsledků je uveden v Příloze č. 1 a zahrnuje zejména: a) testovací strategii, b) popis testovacích scénářů, c) mapování testů na požadavky, d) přehled výsledků testů (PASS/FAIL), e) identifikované nedostatky a doporučení.</w:t>
      </w:r>
    </w:p>
    <w:p w14:paraId="40B2C07F" w14:textId="77777777" w:rsidR="004E4813" w:rsidRPr="00321F99" w:rsidRDefault="001039E4" w:rsidP="00321F99">
      <w:pPr>
        <w:pStyle w:val="Zkladntext"/>
        <w:numPr>
          <w:ilvl w:val="0"/>
          <w:numId w:val="5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Předání Výstupů probíhá elektronicky prostřednictvím </w:t>
      </w:r>
      <w:proofErr w:type="spellStart"/>
      <w:r w:rsidRPr="00321F99">
        <w:rPr>
          <w:rFonts w:ascii="Cambria" w:hAnsi="Cambria"/>
        </w:rPr>
        <w:t>repozitáře</w:t>
      </w:r>
      <w:proofErr w:type="spellEnd"/>
      <w:r w:rsidRPr="00321F99">
        <w:rPr>
          <w:rFonts w:ascii="Cambria" w:hAnsi="Cambria"/>
        </w:rPr>
        <w:t>/úložiště určeného Objednatelem (např. Git) a/nebo jiným dohodnutým způsobem. Poskytovatel je povinen předat též veškeré podklady potřebné k tomu, aby Objednatel mohl testy spouštět opakovaně (zejména konfigurace a návod).</w:t>
      </w:r>
    </w:p>
    <w:p w14:paraId="248FA44D" w14:textId="2AEC0125" w:rsidR="004E4813" w:rsidRPr="00321F99" w:rsidRDefault="001039E4" w:rsidP="00321F99">
      <w:pPr>
        <w:pStyle w:val="Zkladntext"/>
        <w:numPr>
          <w:ilvl w:val="0"/>
          <w:numId w:val="5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Akceptace: a) Objednatel provede kontrolu předaného Výstupu ve lhůtě (doplnit, doporučeno 10–15 pracovních dnů) od jeho doručení. b) Výstup je akceptován, pokud splňuje požadavky této smlouvy a Přílohy č. 1 (zejména </w:t>
      </w:r>
      <w:proofErr w:type="spellStart"/>
      <w:r w:rsidRPr="00321F99">
        <w:rPr>
          <w:rFonts w:ascii="Cambria" w:hAnsi="Cambria"/>
        </w:rPr>
        <w:t>FitNesse</w:t>
      </w:r>
      <w:proofErr w:type="spellEnd"/>
      <w:r w:rsidRPr="00321F99">
        <w:rPr>
          <w:rFonts w:ascii="Cambria" w:hAnsi="Cambria"/>
        </w:rPr>
        <w:t xml:space="preserve">, automatizace, reprodukovatelnost, </w:t>
      </w:r>
      <w:proofErr w:type="spellStart"/>
      <w:r w:rsidRPr="00321F99">
        <w:rPr>
          <w:rFonts w:ascii="Cambria" w:hAnsi="Cambria"/>
        </w:rPr>
        <w:t>spustitelnost</w:t>
      </w:r>
      <w:proofErr w:type="spellEnd"/>
      <w:r w:rsidRPr="00321F99">
        <w:rPr>
          <w:rFonts w:ascii="Cambria" w:hAnsi="Cambria"/>
        </w:rPr>
        <w:t xml:space="preserve"> v CI/CD, angličtina, úplnost dokumentace). c) Pokud Objednatel uplatní výhrady, uvede konkrétní nedostatky; Poskytovatel je odstraní v přiměřené lhůtě. d) Nevyjádří-li se Objednatel ve lhůtě dle písm. a), má se za to, že Výstup byl akceptován; to neplatí pro případy, kdy Objednatel ve lhůtě oznámí, že akceptaci nemůže provést z důvodů na straně Poskytovatele nebo z důvodu nedostatečné součinnosti.</w:t>
      </w:r>
    </w:p>
    <w:p w14:paraId="359EE17C" w14:textId="77777777" w:rsidR="004E4813" w:rsidRPr="00321F99" w:rsidRDefault="001039E4" w:rsidP="00B444A8">
      <w:pPr>
        <w:pStyle w:val="Nadpis2"/>
        <w:jc w:val="center"/>
        <w:rPr>
          <w:rFonts w:ascii="Cambria" w:hAnsi="Cambria"/>
        </w:rPr>
      </w:pPr>
      <w:r w:rsidRPr="00321F99">
        <w:rPr>
          <w:rFonts w:ascii="Cambria" w:hAnsi="Cambria"/>
        </w:rPr>
        <w:t>VII. Práva k Výstupům a duševní vlastnictví</w:t>
      </w:r>
    </w:p>
    <w:p w14:paraId="2B3D1EC6" w14:textId="77777777" w:rsidR="004E4813" w:rsidRPr="00321F99" w:rsidRDefault="001039E4" w:rsidP="00321F99">
      <w:pPr>
        <w:pStyle w:val="Zkladntext"/>
        <w:numPr>
          <w:ilvl w:val="0"/>
          <w:numId w:val="6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Poskytovatel poskytuje Objednateli nevýhradní, územně a časově neomezené oprávnění užít Výstupy vytvořené při poskytování Služeb (zejména </w:t>
      </w:r>
      <w:proofErr w:type="spellStart"/>
      <w:r w:rsidRPr="00321F99">
        <w:rPr>
          <w:rFonts w:ascii="Cambria" w:hAnsi="Cambria"/>
        </w:rPr>
        <w:t>FitNesse</w:t>
      </w:r>
      <w:proofErr w:type="spellEnd"/>
      <w:r w:rsidRPr="00321F99">
        <w:rPr>
          <w:rFonts w:ascii="Cambria" w:hAnsi="Cambria"/>
        </w:rPr>
        <w:t xml:space="preserve"> test </w:t>
      </w:r>
      <w:proofErr w:type="spellStart"/>
      <w:r w:rsidRPr="00321F99">
        <w:rPr>
          <w:rFonts w:ascii="Cambria" w:hAnsi="Cambria"/>
        </w:rPr>
        <w:t>suite</w:t>
      </w:r>
      <w:proofErr w:type="spellEnd"/>
      <w:r w:rsidRPr="00321F99">
        <w:rPr>
          <w:rFonts w:ascii="Cambria" w:hAnsi="Cambria"/>
        </w:rPr>
        <w:t>, testovací scénáře, konfigurace, reporty a dokumentaci) pro interní potřeby Objednatele, a to v rozsahu nezbytném k jejich provozu, spouštění, úpravám a dalšímu rozvoji.</w:t>
      </w:r>
    </w:p>
    <w:p w14:paraId="62D26BC4" w14:textId="77777777" w:rsidR="004E4813" w:rsidRPr="00321F99" w:rsidRDefault="001039E4" w:rsidP="00321F99">
      <w:pPr>
        <w:pStyle w:val="Zkladntext"/>
        <w:numPr>
          <w:ilvl w:val="0"/>
          <w:numId w:val="6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Pokud budou součástí Výstupů i autorskoprávně chráněné prvky vytvořené specificky pro Objednatele (např. </w:t>
      </w:r>
      <w:proofErr w:type="spellStart"/>
      <w:r w:rsidRPr="00321F99">
        <w:rPr>
          <w:rFonts w:ascii="Cambria" w:hAnsi="Cambria"/>
        </w:rPr>
        <w:t>FitNesse</w:t>
      </w:r>
      <w:proofErr w:type="spellEnd"/>
      <w:r w:rsidRPr="00321F99">
        <w:rPr>
          <w:rFonts w:ascii="Cambria" w:hAnsi="Cambria"/>
        </w:rPr>
        <w:t xml:space="preserve"> </w:t>
      </w:r>
      <w:proofErr w:type="spellStart"/>
      <w:r w:rsidRPr="00321F99">
        <w:rPr>
          <w:rFonts w:ascii="Cambria" w:hAnsi="Cambria"/>
        </w:rPr>
        <w:t>fixtures</w:t>
      </w:r>
      <w:proofErr w:type="spellEnd"/>
      <w:r w:rsidRPr="00321F99">
        <w:rPr>
          <w:rFonts w:ascii="Cambria" w:hAnsi="Cambria"/>
        </w:rPr>
        <w:t xml:space="preserve"> nebo podpůrné skripty), je oprávnění dle odst. 1 uděleno i k nim.</w:t>
      </w:r>
    </w:p>
    <w:p w14:paraId="3D7D363D" w14:textId="77777777" w:rsidR="004E4813" w:rsidRPr="00321F99" w:rsidRDefault="001039E4" w:rsidP="00321F99">
      <w:pPr>
        <w:pStyle w:val="Zkladntext"/>
        <w:numPr>
          <w:ilvl w:val="0"/>
          <w:numId w:val="6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Pokud Poskytovatel využije své předchozí know-how, knihovny, nástroje nebo části, které nejsou vytvořeny specificky pro Objednatele, zůstávají tyto prvky ve vlastnictví Poskytovatele; </w:t>
      </w:r>
      <w:r w:rsidRPr="00321F99">
        <w:rPr>
          <w:rFonts w:ascii="Cambria" w:hAnsi="Cambria"/>
        </w:rPr>
        <w:lastRenderedPageBreak/>
        <w:t>Objednateli je poskytnuto nevýhradní oprávnění je užít v rozsahu nezbytném pro využívání Výstupů.</w:t>
      </w:r>
    </w:p>
    <w:p w14:paraId="07969B8E" w14:textId="77777777" w:rsidR="004E4813" w:rsidRPr="00321F99" w:rsidRDefault="001039E4" w:rsidP="00321F99">
      <w:pPr>
        <w:pStyle w:val="Zkladntext"/>
        <w:numPr>
          <w:ilvl w:val="0"/>
          <w:numId w:val="6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>Poskytovatel prohlašuje, že je oprávněn udělit oprávnění dle tohoto článku a že Výstupy nebudou neoprávněně zasahovat do práv třetích osob; v opačném případě se zavazuje Objednatele odškodnit.</w:t>
      </w:r>
    </w:p>
    <w:p w14:paraId="37DA3E73" w14:textId="77777777" w:rsidR="004E4813" w:rsidRPr="00321F99" w:rsidRDefault="001039E4" w:rsidP="00B444A8">
      <w:pPr>
        <w:pStyle w:val="Nadpis2"/>
        <w:jc w:val="center"/>
        <w:rPr>
          <w:rFonts w:ascii="Cambria" w:hAnsi="Cambria"/>
        </w:rPr>
      </w:pPr>
      <w:r w:rsidRPr="00321F99">
        <w:rPr>
          <w:rFonts w:ascii="Cambria" w:hAnsi="Cambria"/>
        </w:rPr>
        <w:t>VIII. Cena a platební podmínky</w:t>
      </w:r>
    </w:p>
    <w:p w14:paraId="4A9A8D88" w14:textId="77777777" w:rsidR="004E4813" w:rsidRPr="00321F99" w:rsidRDefault="001039E4" w:rsidP="00321F99">
      <w:pPr>
        <w:pStyle w:val="Zkladntext"/>
        <w:numPr>
          <w:ilvl w:val="0"/>
          <w:numId w:val="7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Cena za Služby je stanovena dohodou Smluvních stran na základě nabídky Poskytovatele (doplnit) a činí celkem: </w:t>
      </w:r>
    </w:p>
    <w:p w14:paraId="26346663" w14:textId="5FCA6B72" w:rsidR="004E4813" w:rsidRPr="00321F99" w:rsidRDefault="001039E4" w:rsidP="00B556CF">
      <w:pPr>
        <w:pStyle w:val="Zkladntext"/>
        <w:tabs>
          <w:tab w:val="left" w:pos="3402"/>
        </w:tabs>
        <w:ind w:left="851"/>
        <w:jc w:val="both"/>
        <w:rPr>
          <w:rFonts w:ascii="Cambria" w:hAnsi="Cambria"/>
        </w:rPr>
      </w:pPr>
      <w:r w:rsidRPr="00321F99">
        <w:rPr>
          <w:rStyle w:val="Siln"/>
          <w:rFonts w:ascii="Cambria" w:hAnsi="Cambria"/>
        </w:rPr>
        <w:t>Cena bez DPH</w:t>
      </w:r>
      <w:r w:rsidR="00B444A8">
        <w:rPr>
          <w:rFonts w:ascii="Cambria" w:hAnsi="Cambria"/>
        </w:rPr>
        <w:tab/>
      </w:r>
      <w:r w:rsidRPr="00B444A8">
        <w:rPr>
          <w:rFonts w:ascii="Cambria" w:hAnsi="Cambria"/>
          <w:highlight w:val="yellow"/>
        </w:rPr>
        <w:t>……………………………</w:t>
      </w:r>
    </w:p>
    <w:p w14:paraId="43489E7C" w14:textId="26681832" w:rsidR="004E4813" w:rsidRPr="00321F99" w:rsidRDefault="001039E4" w:rsidP="00B556CF">
      <w:pPr>
        <w:pStyle w:val="Zkladntext"/>
        <w:tabs>
          <w:tab w:val="left" w:pos="3402"/>
        </w:tabs>
        <w:ind w:left="851"/>
        <w:jc w:val="both"/>
        <w:rPr>
          <w:rFonts w:ascii="Cambria" w:hAnsi="Cambria"/>
        </w:rPr>
      </w:pPr>
      <w:r w:rsidRPr="00321F99">
        <w:rPr>
          <w:rStyle w:val="Siln"/>
          <w:rFonts w:ascii="Cambria" w:hAnsi="Cambria"/>
        </w:rPr>
        <w:t>Sazba DPH</w:t>
      </w:r>
      <w:r w:rsidRPr="00321F99">
        <w:rPr>
          <w:rFonts w:ascii="Cambria" w:hAnsi="Cambria"/>
        </w:rPr>
        <w:t xml:space="preserve"> </w:t>
      </w:r>
      <w:r w:rsidR="00B444A8">
        <w:rPr>
          <w:rFonts w:ascii="Cambria" w:hAnsi="Cambria"/>
        </w:rPr>
        <w:tab/>
      </w:r>
      <w:r w:rsidRPr="00B444A8">
        <w:rPr>
          <w:rFonts w:ascii="Cambria" w:hAnsi="Cambria"/>
          <w:highlight w:val="yellow"/>
        </w:rPr>
        <w:t>……………………………</w:t>
      </w:r>
    </w:p>
    <w:p w14:paraId="53F4CF91" w14:textId="3439A8A5" w:rsidR="004E4813" w:rsidRPr="00321F99" w:rsidRDefault="001039E4" w:rsidP="00B556CF">
      <w:pPr>
        <w:pStyle w:val="Zkladntext"/>
        <w:tabs>
          <w:tab w:val="left" w:pos="3402"/>
        </w:tabs>
        <w:ind w:left="851"/>
        <w:jc w:val="both"/>
        <w:rPr>
          <w:rFonts w:ascii="Cambria" w:hAnsi="Cambria"/>
        </w:rPr>
      </w:pPr>
      <w:r w:rsidRPr="00321F99">
        <w:rPr>
          <w:rStyle w:val="Siln"/>
          <w:rFonts w:ascii="Cambria" w:hAnsi="Cambria"/>
        </w:rPr>
        <w:t>DPH</w:t>
      </w:r>
      <w:r w:rsidRPr="00321F99">
        <w:rPr>
          <w:rFonts w:ascii="Cambria" w:hAnsi="Cambria"/>
        </w:rPr>
        <w:t xml:space="preserve"> </w:t>
      </w:r>
      <w:r w:rsidR="00B444A8">
        <w:rPr>
          <w:rFonts w:ascii="Cambria" w:hAnsi="Cambria"/>
        </w:rPr>
        <w:tab/>
      </w:r>
      <w:r w:rsidRPr="00B444A8">
        <w:rPr>
          <w:rFonts w:ascii="Cambria" w:hAnsi="Cambria"/>
          <w:highlight w:val="yellow"/>
        </w:rPr>
        <w:t>……………………………</w:t>
      </w:r>
    </w:p>
    <w:p w14:paraId="71CBC351" w14:textId="23078BD3" w:rsidR="004E4813" w:rsidRPr="00321F99" w:rsidRDefault="001039E4" w:rsidP="00B556CF">
      <w:pPr>
        <w:pStyle w:val="Zkladntext"/>
        <w:tabs>
          <w:tab w:val="left" w:pos="3402"/>
        </w:tabs>
        <w:ind w:left="851"/>
        <w:jc w:val="both"/>
        <w:rPr>
          <w:rFonts w:ascii="Cambria" w:hAnsi="Cambria"/>
        </w:rPr>
      </w:pPr>
      <w:r w:rsidRPr="00321F99">
        <w:rPr>
          <w:rStyle w:val="Siln"/>
          <w:rFonts w:ascii="Cambria" w:hAnsi="Cambria"/>
        </w:rPr>
        <w:t>Cena včetně DPH</w:t>
      </w:r>
      <w:r w:rsidRPr="00321F99">
        <w:rPr>
          <w:rFonts w:ascii="Cambria" w:hAnsi="Cambria"/>
        </w:rPr>
        <w:t xml:space="preserve"> </w:t>
      </w:r>
      <w:r w:rsidR="00B444A8">
        <w:rPr>
          <w:rFonts w:ascii="Cambria" w:hAnsi="Cambria"/>
        </w:rPr>
        <w:tab/>
      </w:r>
      <w:r w:rsidRPr="00B444A8">
        <w:rPr>
          <w:rFonts w:ascii="Cambria" w:hAnsi="Cambria"/>
          <w:highlight w:val="yellow"/>
        </w:rPr>
        <w:t>……………………………</w:t>
      </w:r>
    </w:p>
    <w:p w14:paraId="3110EBDE" w14:textId="18A59DF5" w:rsidR="004E4813" w:rsidRPr="00321F99" w:rsidRDefault="001039E4" w:rsidP="00321F99">
      <w:pPr>
        <w:pStyle w:val="Zkladntext"/>
        <w:numPr>
          <w:ilvl w:val="0"/>
          <w:numId w:val="8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>Cena je pevná po navrženou dobu plnění této smlouvy a nejvýše přípustná</w:t>
      </w:r>
      <w:r w:rsidR="00B444A8">
        <w:rPr>
          <w:rFonts w:ascii="Cambria" w:hAnsi="Cambria"/>
        </w:rPr>
        <w:t>.</w:t>
      </w:r>
    </w:p>
    <w:p w14:paraId="71357DC9" w14:textId="43D87720" w:rsidR="004E4813" w:rsidRPr="00321F99" w:rsidRDefault="001039E4" w:rsidP="00321F99">
      <w:pPr>
        <w:pStyle w:val="Zkladntext"/>
        <w:numPr>
          <w:ilvl w:val="0"/>
          <w:numId w:val="8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>Fakturace</w:t>
      </w:r>
      <w:r w:rsidRPr="008075A0">
        <w:rPr>
          <w:rFonts w:ascii="Cambria" w:hAnsi="Cambria"/>
        </w:rPr>
        <w:t>: po akceptaci příslušného milníku dle Příloh č.</w:t>
      </w:r>
      <w:r w:rsidR="008075A0" w:rsidRPr="008075A0">
        <w:rPr>
          <w:rFonts w:ascii="Cambria" w:hAnsi="Cambria"/>
        </w:rPr>
        <w:t xml:space="preserve"> 1 a</w:t>
      </w:r>
      <w:r w:rsidRPr="008075A0">
        <w:rPr>
          <w:rFonts w:ascii="Cambria" w:hAnsi="Cambria"/>
        </w:rPr>
        <w:t xml:space="preserve"> 2</w:t>
      </w:r>
      <w:r w:rsidR="001B7454">
        <w:rPr>
          <w:rFonts w:ascii="Cambria" w:hAnsi="Cambria"/>
        </w:rPr>
        <w:t xml:space="preserve">. Smluvní strany sjednávají, že fakturovaná částka za daný milník tvoří alespoň 15 % z celkové ceny služby dle </w:t>
      </w:r>
      <w:proofErr w:type="spellStart"/>
      <w:r w:rsidR="001B7454">
        <w:rPr>
          <w:rFonts w:ascii="Cambria" w:hAnsi="Cambria"/>
        </w:rPr>
        <w:t>odst</w:t>
      </w:r>
      <w:proofErr w:type="spellEnd"/>
      <w:r w:rsidR="001B7454">
        <w:rPr>
          <w:rFonts w:ascii="Cambria" w:hAnsi="Cambria"/>
        </w:rPr>
        <w:t xml:space="preserve"> 1. tohoto článku.</w:t>
      </w:r>
    </w:p>
    <w:p w14:paraId="2C277591" w14:textId="77777777" w:rsidR="004E4813" w:rsidRPr="00321F99" w:rsidRDefault="001039E4" w:rsidP="00321F99">
      <w:pPr>
        <w:pStyle w:val="Zkladntext"/>
        <w:numPr>
          <w:ilvl w:val="0"/>
          <w:numId w:val="8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>Splatnost faktur: 45 dnů ode dne doručení Objednateli.</w:t>
      </w:r>
    </w:p>
    <w:p w14:paraId="00D604BC" w14:textId="77777777" w:rsidR="004E4813" w:rsidRPr="00321F99" w:rsidRDefault="001039E4" w:rsidP="00321F99">
      <w:pPr>
        <w:pStyle w:val="Zkladntext"/>
        <w:numPr>
          <w:ilvl w:val="0"/>
          <w:numId w:val="8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>Povinné přílohy faktury:</w:t>
      </w:r>
    </w:p>
    <w:p w14:paraId="2D805798" w14:textId="0551DF24" w:rsidR="004E4813" w:rsidRPr="00321F99" w:rsidRDefault="001039E4" w:rsidP="00321F99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přehled dodaných Výstupů a provedených testovacích běhů, </w:t>
      </w:r>
    </w:p>
    <w:p w14:paraId="2FAD3E02" w14:textId="1EB75934" w:rsidR="004E4813" w:rsidRPr="00321F99" w:rsidRDefault="001039E4" w:rsidP="00321F99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akceptační e-mail/protokol  </w:t>
      </w:r>
    </w:p>
    <w:p w14:paraId="516B485B" w14:textId="5B7B7953" w:rsidR="00B444A8" w:rsidRPr="00B444A8" w:rsidRDefault="00B444A8" w:rsidP="00B444A8">
      <w:pPr>
        <w:pStyle w:val="Odstavecseseznamem"/>
        <w:widowControl/>
        <w:numPr>
          <w:ilvl w:val="0"/>
          <w:numId w:val="8"/>
        </w:numPr>
        <w:suppressAutoHyphens w:val="0"/>
        <w:spacing w:before="100" w:beforeAutospacing="1" w:after="100" w:afterAutospacing="1" w:line="259" w:lineRule="auto"/>
        <w:rPr>
          <w:rFonts w:ascii="Cambria" w:eastAsia="Times New Roman" w:hAnsi="Cambria" w:cs="Times New Roman"/>
          <w:color w:val="auto"/>
          <w:lang w:eastAsia="cs-CZ" w:bidi="ar-SA"/>
        </w:rPr>
      </w:pPr>
      <w:r w:rsidRPr="00B444A8">
        <w:rPr>
          <w:rFonts w:ascii="Cambria" w:eastAsia="Times New Roman" w:hAnsi="Cambria" w:cs="Times New Roman"/>
          <w:color w:val="auto"/>
          <w:lang w:eastAsia="cs-CZ" w:bidi="ar-SA"/>
        </w:rPr>
        <w:t>Faktury Poskytovatele musí mít všechny náležitosti daňového dokladu ve smyslu zákona č. 235/2004 Sb., o dani z přidané hodnoty. Zejména musí obsahovat</w:t>
      </w:r>
    </w:p>
    <w:p w14:paraId="1BC3BADB" w14:textId="77777777" w:rsidR="00B444A8" w:rsidRPr="00B444A8" w:rsidRDefault="00B444A8" w:rsidP="00B444A8">
      <w:pPr>
        <w:widowControl/>
        <w:tabs>
          <w:tab w:val="num" w:pos="0"/>
          <w:tab w:val="num" w:pos="709"/>
        </w:tabs>
        <w:suppressAutoHyphens w:val="0"/>
        <w:jc w:val="both"/>
        <w:rPr>
          <w:rFonts w:ascii="Cambria" w:eastAsia="Times New Roman" w:hAnsi="Cambria" w:cs="Times New Roman"/>
          <w:color w:val="auto"/>
          <w:sz w:val="10"/>
          <w:szCs w:val="10"/>
          <w:lang w:eastAsia="cs-CZ" w:bidi="ar-SA"/>
        </w:rPr>
      </w:pPr>
    </w:p>
    <w:p w14:paraId="3EE41756" w14:textId="77777777" w:rsidR="00B444A8" w:rsidRPr="00B444A8" w:rsidRDefault="00B444A8" w:rsidP="00B444A8">
      <w:pPr>
        <w:widowControl/>
        <w:numPr>
          <w:ilvl w:val="0"/>
          <w:numId w:val="17"/>
        </w:numPr>
        <w:suppressAutoHyphens w:val="0"/>
        <w:spacing w:line="240" w:lineRule="atLeast"/>
        <w:ind w:left="993" w:hanging="284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  <w:r w:rsidRPr="00B444A8">
        <w:rPr>
          <w:rFonts w:ascii="Cambria" w:eastAsia="Times New Roman" w:hAnsi="Cambria" w:cs="Times New Roman"/>
          <w:szCs w:val="20"/>
          <w:lang w:eastAsia="cs-CZ" w:bidi="ar-SA"/>
        </w:rPr>
        <w:t>označení účetního dokladu a jeho pořadové číslo</w:t>
      </w:r>
    </w:p>
    <w:p w14:paraId="4F60056C" w14:textId="77777777" w:rsidR="00B444A8" w:rsidRPr="00B444A8" w:rsidRDefault="00B444A8" w:rsidP="00B444A8">
      <w:pPr>
        <w:widowControl/>
        <w:numPr>
          <w:ilvl w:val="0"/>
          <w:numId w:val="17"/>
        </w:numPr>
        <w:suppressAutoHyphens w:val="0"/>
        <w:spacing w:line="240" w:lineRule="atLeast"/>
        <w:ind w:left="993" w:hanging="284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  <w:r w:rsidRPr="00B444A8">
        <w:rPr>
          <w:rFonts w:ascii="Cambria" w:eastAsia="Times New Roman" w:hAnsi="Cambria" w:cs="Times New Roman"/>
          <w:szCs w:val="20"/>
          <w:lang w:eastAsia="cs-CZ" w:bidi="ar-SA"/>
        </w:rPr>
        <w:t>identifikační údaje Objednatele včetně DIČ</w:t>
      </w:r>
    </w:p>
    <w:p w14:paraId="31BCEF81" w14:textId="77777777" w:rsidR="00B444A8" w:rsidRPr="00B444A8" w:rsidRDefault="00B444A8" w:rsidP="00B444A8">
      <w:pPr>
        <w:widowControl/>
        <w:numPr>
          <w:ilvl w:val="0"/>
          <w:numId w:val="17"/>
        </w:numPr>
        <w:suppressAutoHyphens w:val="0"/>
        <w:spacing w:line="240" w:lineRule="atLeast"/>
        <w:ind w:left="993" w:hanging="284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  <w:r w:rsidRPr="00B444A8">
        <w:rPr>
          <w:rFonts w:ascii="Cambria" w:eastAsia="Times New Roman" w:hAnsi="Cambria" w:cs="Times New Roman"/>
          <w:szCs w:val="20"/>
          <w:lang w:eastAsia="cs-CZ" w:bidi="ar-SA"/>
        </w:rPr>
        <w:t>identifikační údaje Poskytovatele včetně DIČ</w:t>
      </w:r>
    </w:p>
    <w:p w14:paraId="383CF796" w14:textId="77777777" w:rsidR="00B444A8" w:rsidRPr="00B444A8" w:rsidRDefault="00B444A8" w:rsidP="00B444A8">
      <w:pPr>
        <w:widowControl/>
        <w:numPr>
          <w:ilvl w:val="0"/>
          <w:numId w:val="17"/>
        </w:numPr>
        <w:suppressAutoHyphens w:val="0"/>
        <w:spacing w:line="240" w:lineRule="atLeast"/>
        <w:ind w:left="993" w:hanging="284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  <w:r w:rsidRPr="00B444A8">
        <w:rPr>
          <w:rFonts w:ascii="Cambria" w:eastAsia="Times New Roman" w:hAnsi="Cambria" w:cs="Times New Roman"/>
          <w:szCs w:val="20"/>
          <w:lang w:eastAsia="cs-CZ" w:bidi="ar-SA"/>
        </w:rPr>
        <w:t>popis obsahu účetního dokladu</w:t>
      </w:r>
    </w:p>
    <w:p w14:paraId="15F31986" w14:textId="77777777" w:rsidR="00B444A8" w:rsidRPr="00B444A8" w:rsidRDefault="00B444A8" w:rsidP="00B444A8">
      <w:pPr>
        <w:widowControl/>
        <w:numPr>
          <w:ilvl w:val="0"/>
          <w:numId w:val="17"/>
        </w:numPr>
        <w:suppressAutoHyphens w:val="0"/>
        <w:spacing w:line="240" w:lineRule="atLeast"/>
        <w:ind w:left="993" w:hanging="284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  <w:r w:rsidRPr="00B444A8">
        <w:rPr>
          <w:rFonts w:ascii="Cambria" w:eastAsia="Times New Roman" w:hAnsi="Cambria" w:cs="Times New Roman"/>
          <w:szCs w:val="20"/>
          <w:lang w:eastAsia="cs-CZ" w:bidi="ar-SA"/>
        </w:rPr>
        <w:t>datum vystavení</w:t>
      </w:r>
    </w:p>
    <w:p w14:paraId="2A26EFF7" w14:textId="77777777" w:rsidR="00B444A8" w:rsidRPr="00B444A8" w:rsidRDefault="00B444A8" w:rsidP="00B444A8">
      <w:pPr>
        <w:widowControl/>
        <w:numPr>
          <w:ilvl w:val="0"/>
          <w:numId w:val="17"/>
        </w:numPr>
        <w:suppressAutoHyphens w:val="0"/>
        <w:spacing w:line="240" w:lineRule="atLeast"/>
        <w:ind w:left="993" w:hanging="284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  <w:r w:rsidRPr="00B444A8">
        <w:rPr>
          <w:rFonts w:ascii="Cambria" w:eastAsia="Times New Roman" w:hAnsi="Cambria" w:cs="Times New Roman"/>
          <w:szCs w:val="20"/>
          <w:lang w:eastAsia="cs-CZ" w:bidi="ar-SA"/>
        </w:rPr>
        <w:t>datum splatnosti</w:t>
      </w:r>
    </w:p>
    <w:p w14:paraId="32D098BE" w14:textId="77777777" w:rsidR="00B444A8" w:rsidRPr="00B444A8" w:rsidRDefault="00B444A8" w:rsidP="00B444A8">
      <w:pPr>
        <w:widowControl/>
        <w:numPr>
          <w:ilvl w:val="0"/>
          <w:numId w:val="17"/>
        </w:numPr>
        <w:suppressAutoHyphens w:val="0"/>
        <w:spacing w:line="240" w:lineRule="atLeast"/>
        <w:ind w:left="993" w:hanging="284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  <w:r w:rsidRPr="00B444A8">
        <w:rPr>
          <w:rFonts w:ascii="Cambria" w:eastAsia="Times New Roman" w:hAnsi="Cambria" w:cs="Times New Roman"/>
          <w:szCs w:val="20"/>
          <w:lang w:eastAsia="cs-CZ" w:bidi="ar-SA"/>
        </w:rPr>
        <w:t>datum uskutečnění zdanitelného plnění</w:t>
      </w:r>
    </w:p>
    <w:p w14:paraId="07808BD7" w14:textId="77777777" w:rsidR="00B444A8" w:rsidRPr="00B444A8" w:rsidRDefault="00B444A8" w:rsidP="00B444A8">
      <w:pPr>
        <w:widowControl/>
        <w:numPr>
          <w:ilvl w:val="0"/>
          <w:numId w:val="17"/>
        </w:numPr>
        <w:suppressAutoHyphens w:val="0"/>
        <w:spacing w:line="240" w:lineRule="atLeast"/>
        <w:ind w:left="993" w:hanging="284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  <w:r w:rsidRPr="00B444A8">
        <w:rPr>
          <w:rFonts w:ascii="Cambria" w:eastAsia="Times New Roman" w:hAnsi="Cambria" w:cs="Times New Roman"/>
          <w:szCs w:val="20"/>
          <w:lang w:eastAsia="cs-CZ" w:bidi="ar-SA"/>
        </w:rPr>
        <w:t>výši ceny bez daně celkem</w:t>
      </w:r>
    </w:p>
    <w:p w14:paraId="69817046" w14:textId="77777777" w:rsidR="00B444A8" w:rsidRPr="00B444A8" w:rsidRDefault="00B444A8" w:rsidP="00B444A8">
      <w:pPr>
        <w:widowControl/>
        <w:numPr>
          <w:ilvl w:val="0"/>
          <w:numId w:val="17"/>
        </w:numPr>
        <w:suppressAutoHyphens w:val="0"/>
        <w:spacing w:line="240" w:lineRule="atLeast"/>
        <w:ind w:left="993" w:hanging="284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  <w:r w:rsidRPr="00B444A8">
        <w:rPr>
          <w:rFonts w:ascii="Cambria" w:eastAsia="Times New Roman" w:hAnsi="Cambria" w:cs="Times New Roman"/>
          <w:szCs w:val="20"/>
          <w:lang w:eastAsia="cs-CZ" w:bidi="ar-SA"/>
        </w:rPr>
        <w:t>sazbu daně</w:t>
      </w:r>
    </w:p>
    <w:p w14:paraId="25BD1DF9" w14:textId="77777777" w:rsidR="00B444A8" w:rsidRPr="00B444A8" w:rsidRDefault="00B444A8" w:rsidP="00B444A8">
      <w:pPr>
        <w:widowControl/>
        <w:numPr>
          <w:ilvl w:val="0"/>
          <w:numId w:val="17"/>
        </w:numPr>
        <w:suppressAutoHyphens w:val="0"/>
        <w:spacing w:line="240" w:lineRule="atLeast"/>
        <w:ind w:left="993" w:hanging="284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  <w:r w:rsidRPr="00B444A8">
        <w:rPr>
          <w:rFonts w:ascii="Cambria" w:eastAsia="Times New Roman" w:hAnsi="Cambria" w:cs="Times New Roman"/>
          <w:szCs w:val="20"/>
          <w:lang w:eastAsia="cs-CZ" w:bidi="ar-SA"/>
        </w:rPr>
        <w:t>výši daně celkem zaokrouhlenou dle příslušných předpisů</w:t>
      </w:r>
    </w:p>
    <w:p w14:paraId="6333AC8D" w14:textId="77777777" w:rsidR="00B444A8" w:rsidRPr="00B444A8" w:rsidRDefault="00B444A8" w:rsidP="00B444A8">
      <w:pPr>
        <w:widowControl/>
        <w:numPr>
          <w:ilvl w:val="0"/>
          <w:numId w:val="17"/>
        </w:numPr>
        <w:suppressAutoHyphens w:val="0"/>
        <w:spacing w:line="240" w:lineRule="atLeast"/>
        <w:ind w:left="993" w:hanging="284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  <w:r w:rsidRPr="00B444A8">
        <w:rPr>
          <w:rFonts w:ascii="Cambria" w:eastAsia="Times New Roman" w:hAnsi="Cambria" w:cs="Times New Roman"/>
          <w:szCs w:val="20"/>
          <w:lang w:eastAsia="cs-CZ" w:bidi="ar-SA"/>
        </w:rPr>
        <w:t>cenu celkem včetně daně</w:t>
      </w:r>
    </w:p>
    <w:p w14:paraId="506F87EB" w14:textId="77777777" w:rsidR="00B444A8" w:rsidRPr="00B444A8" w:rsidRDefault="00B444A8" w:rsidP="00B444A8">
      <w:pPr>
        <w:widowControl/>
        <w:numPr>
          <w:ilvl w:val="0"/>
          <w:numId w:val="17"/>
        </w:numPr>
        <w:suppressAutoHyphens w:val="0"/>
        <w:spacing w:line="240" w:lineRule="atLeast"/>
        <w:ind w:left="993" w:hanging="284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  <w:r w:rsidRPr="00B444A8">
        <w:rPr>
          <w:rFonts w:ascii="Cambria" w:eastAsia="Times New Roman" w:hAnsi="Cambria" w:cs="Times New Roman"/>
          <w:szCs w:val="20"/>
          <w:lang w:eastAsia="cs-CZ" w:bidi="ar-SA"/>
        </w:rPr>
        <w:t>podpis odpovědné osoby Poskytovatele</w:t>
      </w:r>
    </w:p>
    <w:p w14:paraId="61BE3562" w14:textId="77777777" w:rsidR="00B444A8" w:rsidRPr="00B444A8" w:rsidRDefault="00B444A8" w:rsidP="00B444A8">
      <w:pPr>
        <w:widowControl/>
        <w:numPr>
          <w:ilvl w:val="0"/>
          <w:numId w:val="17"/>
        </w:numPr>
        <w:suppressAutoHyphens w:val="0"/>
        <w:spacing w:line="240" w:lineRule="atLeast"/>
        <w:ind w:left="993" w:hanging="284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  <w:proofErr w:type="gramStart"/>
      <w:r w:rsidRPr="00B444A8">
        <w:rPr>
          <w:rFonts w:ascii="Cambria" w:eastAsia="Times New Roman" w:hAnsi="Cambria" w:cs="Times New Roman"/>
          <w:szCs w:val="20"/>
          <w:lang w:eastAsia="cs-CZ" w:bidi="ar-SA"/>
        </w:rPr>
        <w:t>přílohu - soupis</w:t>
      </w:r>
      <w:proofErr w:type="gramEnd"/>
      <w:r w:rsidRPr="00B444A8">
        <w:rPr>
          <w:rFonts w:ascii="Cambria" w:eastAsia="Times New Roman" w:hAnsi="Cambria" w:cs="Times New Roman"/>
          <w:szCs w:val="20"/>
          <w:lang w:eastAsia="cs-CZ" w:bidi="ar-SA"/>
        </w:rPr>
        <w:t xml:space="preserve"> díla a provedených prací oceněný podle dohodnutého způsobu</w:t>
      </w:r>
    </w:p>
    <w:p w14:paraId="7940C4F4" w14:textId="113F3FDF" w:rsidR="004E4813" w:rsidRPr="00321F99" w:rsidRDefault="001039E4" w:rsidP="00B444A8">
      <w:pPr>
        <w:pStyle w:val="Nadpis2"/>
        <w:jc w:val="center"/>
        <w:rPr>
          <w:rFonts w:ascii="Cambria" w:hAnsi="Cambria"/>
        </w:rPr>
      </w:pPr>
      <w:r w:rsidRPr="00321F99">
        <w:rPr>
          <w:rFonts w:ascii="Cambria" w:hAnsi="Cambria"/>
        </w:rPr>
        <w:lastRenderedPageBreak/>
        <w:t>IX. Smluvní pokuty a odpovědnost</w:t>
      </w:r>
    </w:p>
    <w:p w14:paraId="44D0C362" w14:textId="700CC896" w:rsidR="004E4813" w:rsidRPr="00321F99" w:rsidRDefault="001039E4" w:rsidP="00321F99">
      <w:pPr>
        <w:pStyle w:val="Zkladntext"/>
        <w:numPr>
          <w:ilvl w:val="0"/>
          <w:numId w:val="9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Pokud bude Poskytovatel v prodlení s termíny </w:t>
      </w:r>
      <w:r w:rsidRPr="00A33603">
        <w:rPr>
          <w:rFonts w:ascii="Cambria" w:hAnsi="Cambria"/>
        </w:rPr>
        <w:t xml:space="preserve">plnění milníků dle Příloh č. </w:t>
      </w:r>
      <w:r w:rsidR="008075A0" w:rsidRPr="00A33603">
        <w:rPr>
          <w:rFonts w:ascii="Cambria" w:hAnsi="Cambria"/>
        </w:rPr>
        <w:t>1 a 2</w:t>
      </w:r>
      <w:r w:rsidRPr="00321F99">
        <w:rPr>
          <w:rFonts w:ascii="Cambria" w:hAnsi="Cambria"/>
        </w:rPr>
        <w:t>, je povinen zaplatit Objednateli smluvní pokutu ve výši 0,02 % z celkové ceny bez DPH za každý i započatý den prodlení, není-li v Příloze č. 2 stanoveno jinak.</w:t>
      </w:r>
    </w:p>
    <w:p w14:paraId="17E456B4" w14:textId="77777777" w:rsidR="004E4813" w:rsidRPr="00321F99" w:rsidRDefault="001039E4" w:rsidP="00321F99">
      <w:pPr>
        <w:pStyle w:val="Zkladntext"/>
        <w:numPr>
          <w:ilvl w:val="0"/>
          <w:numId w:val="9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>Smluvní pokuta se neuplatní, pokud je prodlení způsobeno prokazatelně nedostatečnou součinností Objednatele dle článku V.</w:t>
      </w:r>
    </w:p>
    <w:p w14:paraId="2DDEF189" w14:textId="77777777" w:rsidR="004E4813" w:rsidRPr="00321F99" w:rsidRDefault="001039E4" w:rsidP="00321F99">
      <w:pPr>
        <w:pStyle w:val="Zkladntext"/>
        <w:numPr>
          <w:ilvl w:val="0"/>
          <w:numId w:val="9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>Uplatněním smluvní pokuty není dotčeno právo na náhradu škody.</w:t>
      </w:r>
    </w:p>
    <w:p w14:paraId="5CE4ECCF" w14:textId="77777777" w:rsidR="004E4813" w:rsidRPr="00321F99" w:rsidRDefault="001039E4" w:rsidP="00B444A8">
      <w:pPr>
        <w:pStyle w:val="Nadpis2"/>
        <w:jc w:val="center"/>
        <w:rPr>
          <w:rFonts w:ascii="Cambria" w:hAnsi="Cambria"/>
        </w:rPr>
      </w:pPr>
      <w:r w:rsidRPr="00321F99">
        <w:rPr>
          <w:rFonts w:ascii="Cambria" w:hAnsi="Cambria"/>
        </w:rPr>
        <w:t>X. Mlčenlivost</w:t>
      </w:r>
    </w:p>
    <w:p w14:paraId="555DAB72" w14:textId="77777777" w:rsidR="004E4813" w:rsidRPr="00321F99" w:rsidRDefault="001039E4" w:rsidP="00321F99">
      <w:pPr>
        <w:pStyle w:val="Zkladntext"/>
        <w:numPr>
          <w:ilvl w:val="0"/>
          <w:numId w:val="10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>Smluvní strany se zavazují zachovávat mlčenlivost o všech důvěrných informacích, zejména o informacích souvisejících s architekturou EIP, přístupy do prostředí, konfiguracemi, logy, testovacími daty a výsledky bezpečnostního testování.</w:t>
      </w:r>
    </w:p>
    <w:p w14:paraId="058723FC" w14:textId="77777777" w:rsidR="004E4813" w:rsidRPr="00321F99" w:rsidRDefault="001039E4" w:rsidP="00321F99">
      <w:pPr>
        <w:pStyle w:val="Zkladntext"/>
        <w:numPr>
          <w:ilvl w:val="0"/>
          <w:numId w:val="10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>Povinnost mlčenlivosti trvá po dobu trvání smlouvy a 5 let po jejím ukončení.</w:t>
      </w:r>
    </w:p>
    <w:p w14:paraId="2C7C3FC8" w14:textId="77777777" w:rsidR="004E4813" w:rsidRPr="00321F99" w:rsidRDefault="001039E4" w:rsidP="00B444A8">
      <w:pPr>
        <w:pStyle w:val="Nadpis2"/>
        <w:jc w:val="center"/>
        <w:rPr>
          <w:rFonts w:ascii="Cambria" w:hAnsi="Cambria"/>
        </w:rPr>
      </w:pPr>
      <w:r w:rsidRPr="00321F99">
        <w:rPr>
          <w:rFonts w:ascii="Cambria" w:hAnsi="Cambria"/>
        </w:rPr>
        <w:t>XI. Bezpečnost a práce s daty</w:t>
      </w:r>
    </w:p>
    <w:p w14:paraId="35A7AF34" w14:textId="77777777" w:rsidR="004E4813" w:rsidRPr="00321F99" w:rsidRDefault="001039E4" w:rsidP="00321F99">
      <w:pPr>
        <w:pStyle w:val="Zkladntext"/>
        <w:numPr>
          <w:ilvl w:val="0"/>
          <w:numId w:val="11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>Poskytovatel bude dodržovat bezpečnostní pravidla Objednatele pro přístup do prostředí a nakládání s údaji.</w:t>
      </w:r>
    </w:p>
    <w:p w14:paraId="7CF925AB" w14:textId="77777777" w:rsidR="004E4813" w:rsidRPr="00321F99" w:rsidRDefault="001039E4" w:rsidP="00321F99">
      <w:pPr>
        <w:pStyle w:val="Zkladntext"/>
        <w:numPr>
          <w:ilvl w:val="0"/>
          <w:numId w:val="11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>Pokud budou v rámci testování zpracovávány osobní údaje, Smluvní strany uzavřou odpovídající ujednání o zpracování osobních údajů (např. zpracovatelskou smlouvu) před zahájením takového zpracování.</w:t>
      </w:r>
    </w:p>
    <w:p w14:paraId="7D2711C5" w14:textId="77777777" w:rsidR="004E4813" w:rsidRPr="00321F99" w:rsidRDefault="001039E4" w:rsidP="00B444A8">
      <w:pPr>
        <w:pStyle w:val="Nadpis2"/>
        <w:jc w:val="center"/>
        <w:rPr>
          <w:rFonts w:ascii="Cambria" w:hAnsi="Cambria"/>
        </w:rPr>
      </w:pPr>
      <w:r w:rsidRPr="00321F99">
        <w:rPr>
          <w:rFonts w:ascii="Cambria" w:hAnsi="Cambria"/>
        </w:rPr>
        <w:t>XII. Ukončení smlouvy</w:t>
      </w:r>
    </w:p>
    <w:p w14:paraId="5EE1AE1F" w14:textId="77777777" w:rsidR="004E4813" w:rsidRPr="00321F99" w:rsidRDefault="001039E4" w:rsidP="00321F99">
      <w:pPr>
        <w:pStyle w:val="Zkladntext"/>
        <w:numPr>
          <w:ilvl w:val="0"/>
          <w:numId w:val="12"/>
        </w:numPr>
        <w:tabs>
          <w:tab w:val="left" w:pos="709"/>
        </w:tabs>
        <w:spacing w:after="0"/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Smlouva může být ukončena: </w:t>
      </w:r>
    </w:p>
    <w:p w14:paraId="12E1C956" w14:textId="6BBA1A75" w:rsidR="004E4813" w:rsidRPr="00321F99" w:rsidRDefault="001039E4" w:rsidP="00321F99">
      <w:pPr>
        <w:pStyle w:val="Zkladntext"/>
        <w:numPr>
          <w:ilvl w:val="1"/>
          <w:numId w:val="12"/>
        </w:numPr>
        <w:tabs>
          <w:tab w:val="left" w:pos="1418"/>
        </w:tabs>
        <w:spacing w:after="0"/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splněním Služeb dle Přílohy č. </w:t>
      </w:r>
      <w:r w:rsidR="008075A0">
        <w:rPr>
          <w:rFonts w:ascii="Cambria" w:hAnsi="Cambria"/>
        </w:rPr>
        <w:t>1</w:t>
      </w:r>
      <w:r w:rsidRPr="00321F99">
        <w:rPr>
          <w:rFonts w:ascii="Cambria" w:hAnsi="Cambria"/>
        </w:rPr>
        <w:t xml:space="preserve">, </w:t>
      </w:r>
    </w:p>
    <w:p w14:paraId="7AF59532" w14:textId="77777777" w:rsidR="004E4813" w:rsidRPr="00321F99" w:rsidRDefault="001039E4" w:rsidP="00321F99">
      <w:pPr>
        <w:pStyle w:val="Zkladntext"/>
        <w:numPr>
          <w:ilvl w:val="1"/>
          <w:numId w:val="12"/>
        </w:numPr>
        <w:tabs>
          <w:tab w:val="left" w:pos="1418"/>
        </w:tabs>
        <w:spacing w:after="0"/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písemnou dohodou Smluvních stran, </w:t>
      </w:r>
    </w:p>
    <w:p w14:paraId="3A699EC5" w14:textId="77777777" w:rsidR="004E4813" w:rsidRPr="00321F99" w:rsidRDefault="001039E4" w:rsidP="00321F99">
      <w:pPr>
        <w:pStyle w:val="Zkladntext"/>
        <w:numPr>
          <w:ilvl w:val="1"/>
          <w:numId w:val="12"/>
        </w:numPr>
        <w:tabs>
          <w:tab w:val="left" w:pos="1418"/>
        </w:tabs>
        <w:spacing w:after="0"/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výpovědí (doporučeno doplnit zejména pro T&amp;M model; např. s 30denní výpovědní dobou), </w:t>
      </w:r>
    </w:p>
    <w:p w14:paraId="00FCABEF" w14:textId="77777777" w:rsidR="004E4813" w:rsidRPr="00321F99" w:rsidRDefault="001039E4" w:rsidP="00321F99">
      <w:pPr>
        <w:pStyle w:val="Zkladntext"/>
        <w:numPr>
          <w:ilvl w:val="1"/>
          <w:numId w:val="12"/>
        </w:numPr>
        <w:tabs>
          <w:tab w:val="left" w:pos="1418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odstoupením v případech podstatného porušení smlouvy. </w:t>
      </w:r>
    </w:p>
    <w:p w14:paraId="785CA46C" w14:textId="77777777" w:rsidR="004E4813" w:rsidRPr="00321F99" w:rsidRDefault="001039E4" w:rsidP="00B444A8">
      <w:pPr>
        <w:pStyle w:val="Nadpis2"/>
        <w:jc w:val="center"/>
        <w:rPr>
          <w:rFonts w:ascii="Cambria" w:hAnsi="Cambria"/>
        </w:rPr>
      </w:pPr>
      <w:r w:rsidRPr="00321F99">
        <w:rPr>
          <w:rFonts w:ascii="Cambria" w:hAnsi="Cambria"/>
        </w:rPr>
        <w:t>XIII. Závěrečná ustanovení</w:t>
      </w:r>
    </w:p>
    <w:p w14:paraId="151CB0B5" w14:textId="77777777" w:rsidR="004E4813" w:rsidRPr="00321F99" w:rsidRDefault="001039E4" w:rsidP="00321F99">
      <w:pPr>
        <w:pStyle w:val="Zkladntext"/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Tato smlouva se řídí právním řádem České republiky. </w:t>
      </w:r>
    </w:p>
    <w:p w14:paraId="08B3DD4F" w14:textId="77777777" w:rsidR="004E4813" w:rsidRPr="00321F99" w:rsidRDefault="001039E4" w:rsidP="00321F99">
      <w:pPr>
        <w:pStyle w:val="Zkladntext"/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Jakékoliv změny této smlouvy mohou být provedeny pouze písemnými, číslovanými dodatky. </w:t>
      </w:r>
    </w:p>
    <w:p w14:paraId="773DD319" w14:textId="77777777" w:rsidR="004E4813" w:rsidRPr="00321F99" w:rsidRDefault="001039E4" w:rsidP="00321F99">
      <w:pPr>
        <w:pStyle w:val="Zkladntext"/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Smlouva nabývá platnosti a účinnosti dnem podpisu poslední smluvní strany. </w:t>
      </w:r>
    </w:p>
    <w:p w14:paraId="19D85727" w14:textId="77777777" w:rsidR="004E4813" w:rsidRPr="00321F99" w:rsidRDefault="001039E4" w:rsidP="00321F99">
      <w:pPr>
        <w:pStyle w:val="Zkladntext"/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Poskytovatel je osobou povinnou spolupůsobit při výkonu finanční kontroly ve smyslu ustanovení § 2 písm. e) zákona č. 320/2001 Sb., o finanční kontrole ve veřejné správě, v platném znění. </w:t>
      </w:r>
    </w:p>
    <w:p w14:paraId="1B942A65" w14:textId="77777777" w:rsidR="004E4813" w:rsidRPr="00321F99" w:rsidRDefault="001039E4" w:rsidP="00321F99">
      <w:pPr>
        <w:pStyle w:val="Zkladntext"/>
        <w:numPr>
          <w:ilvl w:val="0"/>
          <w:numId w:val="13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Fonts w:ascii="Cambria" w:hAnsi="Cambria"/>
        </w:rPr>
        <w:t xml:space="preserve">Poskytovatel je povinen řádně uchovávat veškerou dokumentaci související s realizací plnění minimálně do konce roku 2036. </w:t>
      </w:r>
    </w:p>
    <w:p w14:paraId="1E2B1326" w14:textId="77777777" w:rsidR="004E4813" w:rsidRPr="00321F99" w:rsidRDefault="001039E4" w:rsidP="00321F99">
      <w:pPr>
        <w:pStyle w:val="Nadpis3"/>
        <w:jc w:val="both"/>
        <w:rPr>
          <w:rFonts w:ascii="Cambria" w:hAnsi="Cambria"/>
        </w:rPr>
      </w:pPr>
      <w:r w:rsidRPr="00321F99">
        <w:rPr>
          <w:rFonts w:ascii="Cambria" w:hAnsi="Cambria"/>
        </w:rPr>
        <w:lastRenderedPageBreak/>
        <w:t>Přílohy</w:t>
      </w:r>
    </w:p>
    <w:p w14:paraId="758A63F4" w14:textId="77777777" w:rsidR="004E4813" w:rsidRPr="00321F99" w:rsidRDefault="001039E4" w:rsidP="00321F99">
      <w:pPr>
        <w:pStyle w:val="Zkladntext"/>
        <w:numPr>
          <w:ilvl w:val="0"/>
          <w:numId w:val="14"/>
        </w:numPr>
        <w:tabs>
          <w:tab w:val="left" w:pos="709"/>
        </w:tabs>
        <w:spacing w:after="0"/>
        <w:jc w:val="both"/>
        <w:rPr>
          <w:rFonts w:ascii="Cambria" w:hAnsi="Cambria"/>
        </w:rPr>
      </w:pPr>
      <w:r w:rsidRPr="00321F99">
        <w:rPr>
          <w:rStyle w:val="Siln"/>
          <w:rFonts w:ascii="Cambria" w:hAnsi="Cambria"/>
        </w:rPr>
        <w:t>Příloha č. 1:</w:t>
      </w:r>
      <w:r w:rsidRPr="00321F99">
        <w:rPr>
          <w:rFonts w:ascii="Cambria" w:hAnsi="Cambria"/>
        </w:rPr>
        <w:t xml:space="preserve"> Technická specifikace plnění (Test) – rozsah a požadavky na testování EIP, včetně povinných požadavků (</w:t>
      </w:r>
      <w:proofErr w:type="spellStart"/>
      <w:r w:rsidRPr="00321F99">
        <w:rPr>
          <w:rFonts w:ascii="Cambria" w:hAnsi="Cambria"/>
        </w:rPr>
        <w:t>FitNesse</w:t>
      </w:r>
      <w:proofErr w:type="spellEnd"/>
      <w:r w:rsidRPr="00321F99">
        <w:rPr>
          <w:rFonts w:ascii="Cambria" w:hAnsi="Cambria"/>
        </w:rPr>
        <w:t xml:space="preserve">, CI/CD, angličtina, dokumentace) </w:t>
      </w:r>
    </w:p>
    <w:p w14:paraId="59298EF6" w14:textId="77777777" w:rsidR="004E4813" w:rsidRPr="00321F99" w:rsidRDefault="001039E4" w:rsidP="00321F99">
      <w:pPr>
        <w:pStyle w:val="Zkladntext"/>
        <w:numPr>
          <w:ilvl w:val="0"/>
          <w:numId w:val="14"/>
        </w:numPr>
        <w:tabs>
          <w:tab w:val="left" w:pos="709"/>
        </w:tabs>
        <w:jc w:val="both"/>
        <w:rPr>
          <w:rFonts w:ascii="Cambria" w:hAnsi="Cambria"/>
        </w:rPr>
      </w:pPr>
      <w:r w:rsidRPr="00321F99">
        <w:rPr>
          <w:rStyle w:val="Siln"/>
          <w:rFonts w:ascii="Cambria" w:hAnsi="Cambria"/>
        </w:rPr>
        <w:t>Příloha č. 2:</w:t>
      </w:r>
      <w:r w:rsidRPr="00321F99">
        <w:rPr>
          <w:rFonts w:ascii="Cambria" w:hAnsi="Cambria"/>
        </w:rPr>
        <w:t xml:space="preserve"> Harmonogram / milníky a cenový model </w:t>
      </w:r>
    </w:p>
    <w:p w14:paraId="0098BAB3" w14:textId="374B86E7" w:rsidR="004E4813" w:rsidRDefault="004E4813" w:rsidP="00321F99">
      <w:pPr>
        <w:pStyle w:val="Zkladntext"/>
        <w:jc w:val="both"/>
        <w:rPr>
          <w:rFonts w:ascii="Cambria" w:hAnsi="Cambria"/>
        </w:rPr>
      </w:pPr>
    </w:p>
    <w:p w14:paraId="0F58F8E8" w14:textId="77777777" w:rsidR="00B444A8" w:rsidRPr="00B444A8" w:rsidRDefault="00B444A8" w:rsidP="00B444A8">
      <w:pPr>
        <w:widowControl/>
        <w:tabs>
          <w:tab w:val="left" w:pos="4962"/>
        </w:tabs>
        <w:suppressAutoHyphens w:val="0"/>
        <w:spacing w:line="240" w:lineRule="atLeast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</w:p>
    <w:p w14:paraId="63519A3F" w14:textId="3FEAB873" w:rsidR="00B444A8" w:rsidRPr="00B444A8" w:rsidRDefault="00B444A8" w:rsidP="00B444A8">
      <w:pPr>
        <w:widowControl/>
        <w:tabs>
          <w:tab w:val="left" w:pos="4536"/>
        </w:tabs>
        <w:suppressAutoHyphens w:val="0"/>
        <w:spacing w:line="240" w:lineRule="atLeast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  <w:r w:rsidRPr="00B444A8">
        <w:rPr>
          <w:rFonts w:ascii="Cambria" w:eastAsia="Times New Roman" w:hAnsi="Cambria" w:cs="Times New Roman"/>
          <w:szCs w:val="20"/>
          <w:lang w:eastAsia="cs-CZ" w:bidi="ar-SA"/>
        </w:rPr>
        <w:t xml:space="preserve">V </w:t>
      </w:r>
      <w:r w:rsidRPr="00B444A8">
        <w:rPr>
          <w:rFonts w:ascii="Cambria" w:eastAsia="Times New Roman" w:hAnsi="Cambria" w:cs="Times New Roman"/>
          <w:szCs w:val="20"/>
          <w:highlight w:val="yellow"/>
          <w:lang w:eastAsia="cs-CZ" w:bidi="ar-SA"/>
        </w:rPr>
        <w:t>…………………</w:t>
      </w:r>
      <w:r w:rsidRPr="00B444A8">
        <w:rPr>
          <w:rFonts w:ascii="Cambria" w:eastAsia="Times New Roman" w:hAnsi="Cambria" w:cs="Times New Roman"/>
          <w:szCs w:val="20"/>
          <w:lang w:eastAsia="cs-CZ" w:bidi="ar-SA"/>
        </w:rPr>
        <w:t xml:space="preserve"> dne </w:t>
      </w:r>
      <w:bookmarkStart w:id="2" w:name="_Hlk219889550"/>
      <w:r w:rsidRPr="00B444A8">
        <w:rPr>
          <w:rFonts w:ascii="Cambria" w:eastAsia="Times New Roman" w:hAnsi="Cambria" w:cs="Times New Roman"/>
          <w:szCs w:val="20"/>
          <w:highlight w:val="yellow"/>
          <w:lang w:eastAsia="cs-CZ" w:bidi="ar-SA"/>
        </w:rPr>
        <w:t>…………</w:t>
      </w:r>
      <w:bookmarkEnd w:id="2"/>
      <w:r w:rsidRPr="00B444A8">
        <w:rPr>
          <w:rFonts w:ascii="Cambria" w:eastAsia="Times New Roman" w:hAnsi="Cambria" w:cs="Times New Roman"/>
          <w:szCs w:val="20"/>
          <w:lang w:eastAsia="cs-CZ" w:bidi="ar-SA"/>
        </w:rPr>
        <w:t xml:space="preserve"> 2026</w:t>
      </w:r>
      <w:r w:rsidRPr="00B444A8">
        <w:rPr>
          <w:rFonts w:ascii="Cambria" w:eastAsia="Times New Roman" w:hAnsi="Cambria" w:cs="Times New Roman"/>
          <w:szCs w:val="20"/>
          <w:lang w:eastAsia="cs-CZ" w:bidi="ar-SA"/>
        </w:rPr>
        <w:tab/>
      </w:r>
      <w:r>
        <w:rPr>
          <w:rFonts w:ascii="Cambria" w:eastAsia="Times New Roman" w:hAnsi="Cambria" w:cs="Times New Roman"/>
          <w:szCs w:val="20"/>
          <w:lang w:eastAsia="cs-CZ" w:bidi="ar-SA"/>
        </w:rPr>
        <w:tab/>
      </w:r>
      <w:r w:rsidRPr="00B444A8">
        <w:rPr>
          <w:rFonts w:ascii="Cambria" w:eastAsia="Times New Roman" w:hAnsi="Cambria" w:cs="Times New Roman"/>
          <w:szCs w:val="20"/>
          <w:lang w:eastAsia="cs-CZ" w:bidi="ar-SA"/>
        </w:rPr>
        <w:t>V Brně, dne ………… 2026</w:t>
      </w:r>
    </w:p>
    <w:p w14:paraId="4C97450B" w14:textId="77777777" w:rsidR="00B444A8" w:rsidRPr="00B444A8" w:rsidRDefault="00B444A8" w:rsidP="00B444A8">
      <w:pPr>
        <w:widowControl/>
        <w:tabs>
          <w:tab w:val="left" w:pos="4536"/>
        </w:tabs>
        <w:suppressAutoHyphens w:val="0"/>
        <w:spacing w:line="240" w:lineRule="atLeast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</w:p>
    <w:p w14:paraId="62408EE3" w14:textId="2AB2F2DD" w:rsidR="00B444A8" w:rsidRPr="00B444A8" w:rsidRDefault="00B444A8" w:rsidP="00B444A8">
      <w:pPr>
        <w:widowControl/>
        <w:tabs>
          <w:tab w:val="left" w:pos="4536"/>
        </w:tabs>
        <w:suppressAutoHyphens w:val="0"/>
        <w:spacing w:line="240" w:lineRule="atLeast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  <w:r w:rsidRPr="00B444A8">
        <w:rPr>
          <w:rFonts w:ascii="Cambria" w:eastAsia="Times New Roman" w:hAnsi="Cambria" w:cs="Times New Roman"/>
          <w:szCs w:val="20"/>
          <w:lang w:eastAsia="cs-CZ" w:bidi="ar-SA"/>
        </w:rPr>
        <w:t xml:space="preserve">Za Poskytovatele: </w:t>
      </w:r>
      <w:r w:rsidRPr="00B444A8">
        <w:rPr>
          <w:rFonts w:ascii="Cambria" w:eastAsia="Times New Roman" w:hAnsi="Cambria" w:cs="Times New Roman"/>
          <w:szCs w:val="20"/>
          <w:lang w:eastAsia="cs-CZ" w:bidi="ar-SA"/>
        </w:rPr>
        <w:tab/>
      </w:r>
      <w:r>
        <w:rPr>
          <w:rFonts w:ascii="Cambria" w:eastAsia="Times New Roman" w:hAnsi="Cambria" w:cs="Times New Roman"/>
          <w:szCs w:val="20"/>
          <w:lang w:eastAsia="cs-CZ" w:bidi="ar-SA"/>
        </w:rPr>
        <w:tab/>
      </w:r>
      <w:r w:rsidRPr="00B444A8">
        <w:rPr>
          <w:rFonts w:ascii="Cambria" w:eastAsia="Times New Roman" w:hAnsi="Cambria" w:cs="Times New Roman"/>
          <w:szCs w:val="20"/>
          <w:lang w:eastAsia="cs-CZ" w:bidi="ar-SA"/>
        </w:rPr>
        <w:t>Za Objednatele:</w:t>
      </w:r>
    </w:p>
    <w:p w14:paraId="61B676C6" w14:textId="77777777" w:rsidR="00B444A8" w:rsidRPr="00B444A8" w:rsidRDefault="00B444A8" w:rsidP="00B444A8">
      <w:pPr>
        <w:widowControl/>
        <w:tabs>
          <w:tab w:val="left" w:pos="4536"/>
        </w:tabs>
        <w:suppressAutoHyphens w:val="0"/>
        <w:spacing w:line="240" w:lineRule="atLeast"/>
        <w:jc w:val="both"/>
        <w:rPr>
          <w:rFonts w:ascii="Cambria" w:eastAsia="Times New Roman" w:hAnsi="Cambria" w:cs="Times New Roman"/>
          <w:color w:val="FF0000"/>
          <w:szCs w:val="20"/>
          <w:lang w:eastAsia="cs-CZ" w:bidi="ar-SA"/>
        </w:rPr>
      </w:pPr>
      <w:r w:rsidRPr="00B444A8">
        <w:rPr>
          <w:rFonts w:ascii="Cambria" w:eastAsia="Times New Roman" w:hAnsi="Cambria" w:cs="Times New Roman"/>
          <w:szCs w:val="20"/>
          <w:lang w:eastAsia="cs-CZ" w:bidi="ar-SA"/>
        </w:rPr>
        <w:t xml:space="preserve"> </w:t>
      </w:r>
    </w:p>
    <w:p w14:paraId="2FF781BE" w14:textId="77777777" w:rsidR="00B444A8" w:rsidRPr="00B444A8" w:rsidRDefault="00B444A8" w:rsidP="00B444A8">
      <w:pPr>
        <w:widowControl/>
        <w:tabs>
          <w:tab w:val="left" w:pos="4536"/>
        </w:tabs>
        <w:suppressAutoHyphens w:val="0"/>
        <w:spacing w:line="240" w:lineRule="atLeast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</w:p>
    <w:p w14:paraId="45391A82" w14:textId="77777777" w:rsidR="00B444A8" w:rsidRPr="00B444A8" w:rsidRDefault="00B444A8" w:rsidP="00B444A8">
      <w:pPr>
        <w:widowControl/>
        <w:tabs>
          <w:tab w:val="left" w:pos="4536"/>
        </w:tabs>
        <w:suppressAutoHyphens w:val="0"/>
        <w:spacing w:line="240" w:lineRule="atLeast"/>
        <w:jc w:val="both"/>
        <w:rPr>
          <w:rFonts w:ascii="Cambria" w:eastAsia="Times New Roman" w:hAnsi="Cambria" w:cs="Times New Roman"/>
          <w:szCs w:val="20"/>
          <w:lang w:eastAsia="cs-CZ" w:bidi="ar-SA"/>
        </w:rPr>
      </w:pPr>
    </w:p>
    <w:p w14:paraId="3ABAC7D1" w14:textId="77777777" w:rsidR="00B444A8" w:rsidRPr="00B444A8" w:rsidRDefault="00B444A8" w:rsidP="00B444A8">
      <w:pPr>
        <w:widowControl/>
        <w:tabs>
          <w:tab w:val="left" w:pos="4536"/>
        </w:tabs>
        <w:suppressAutoHyphens w:val="0"/>
        <w:spacing w:line="240" w:lineRule="atLeast"/>
        <w:jc w:val="both"/>
        <w:rPr>
          <w:rFonts w:ascii="Cambria" w:eastAsia="Times New Roman" w:hAnsi="Cambria" w:cs="Times New Roman"/>
          <w:color w:val="FF0000"/>
          <w:szCs w:val="20"/>
          <w:lang w:eastAsia="cs-CZ" w:bidi="ar-SA"/>
        </w:rPr>
      </w:pPr>
      <w:r w:rsidRPr="00B444A8">
        <w:rPr>
          <w:rFonts w:ascii="Cambria" w:eastAsia="Times New Roman" w:hAnsi="Cambria" w:cs="Times New Roman"/>
          <w:szCs w:val="20"/>
          <w:lang w:eastAsia="cs-CZ" w:bidi="ar-SA"/>
        </w:rPr>
        <w:t xml:space="preserve">                                                                                  </w:t>
      </w:r>
    </w:p>
    <w:p w14:paraId="2A90678E" w14:textId="2E1BCF05" w:rsidR="00B444A8" w:rsidRPr="00B444A8" w:rsidRDefault="00B444A8" w:rsidP="00B444A8">
      <w:pPr>
        <w:widowControl/>
        <w:tabs>
          <w:tab w:val="left" w:pos="4536"/>
        </w:tabs>
        <w:suppressAutoHyphens w:val="0"/>
        <w:spacing w:line="240" w:lineRule="atLeast"/>
        <w:jc w:val="both"/>
        <w:rPr>
          <w:rFonts w:ascii="Cambria" w:eastAsia="Times New Roman" w:hAnsi="Cambria" w:cs="Times New Roman"/>
          <w:sz w:val="28"/>
          <w:szCs w:val="20"/>
          <w:lang w:eastAsia="cs-CZ" w:bidi="ar-SA"/>
        </w:rPr>
      </w:pPr>
      <w:r w:rsidRPr="00B444A8">
        <w:rPr>
          <w:rFonts w:ascii="Cambria" w:eastAsia="Times New Roman" w:hAnsi="Cambria" w:cs="Times New Roman"/>
          <w:szCs w:val="20"/>
          <w:highlight w:val="yellow"/>
          <w:lang w:eastAsia="cs-CZ" w:bidi="ar-SA"/>
        </w:rPr>
        <w:t>…………………………….</w:t>
      </w:r>
      <w:r w:rsidRPr="00B444A8">
        <w:rPr>
          <w:rFonts w:ascii="Cambria" w:eastAsia="Times New Roman" w:hAnsi="Cambria" w:cs="Times New Roman"/>
          <w:szCs w:val="20"/>
          <w:lang w:eastAsia="cs-CZ" w:bidi="ar-SA"/>
        </w:rPr>
        <w:tab/>
      </w:r>
      <w:r>
        <w:rPr>
          <w:rFonts w:ascii="Cambria" w:eastAsia="Times New Roman" w:hAnsi="Cambria" w:cs="Times New Roman"/>
          <w:szCs w:val="20"/>
          <w:lang w:eastAsia="cs-CZ" w:bidi="ar-SA"/>
        </w:rPr>
        <w:tab/>
      </w:r>
      <w:r w:rsidRPr="00B444A8">
        <w:rPr>
          <w:rFonts w:ascii="Cambria" w:eastAsia="Times New Roman" w:hAnsi="Cambria" w:cs="Times New Roman"/>
          <w:sz w:val="28"/>
          <w:szCs w:val="20"/>
          <w:lang w:eastAsia="cs-CZ" w:bidi="ar-SA"/>
        </w:rPr>
        <w:t xml:space="preserve">………………………………….  </w:t>
      </w:r>
    </w:p>
    <w:p w14:paraId="00E18922" w14:textId="7BE1B846" w:rsidR="00B444A8" w:rsidRPr="00B444A8" w:rsidRDefault="00B444A8" w:rsidP="00B444A8">
      <w:pPr>
        <w:widowControl/>
        <w:tabs>
          <w:tab w:val="left" w:pos="4536"/>
        </w:tabs>
        <w:suppressAutoHyphens w:val="0"/>
        <w:rPr>
          <w:rFonts w:ascii="Cambria" w:eastAsia="Times New Roman" w:hAnsi="Cambria" w:cs="Times New Roman"/>
          <w:b/>
          <w:bCs/>
          <w:color w:val="auto"/>
          <w:lang w:eastAsia="cs-CZ" w:bidi="ar-SA"/>
        </w:rPr>
      </w:pPr>
      <w:r w:rsidRPr="00B444A8">
        <w:rPr>
          <w:rFonts w:ascii="Cambria" w:eastAsia="Times New Roman" w:hAnsi="Cambria" w:cs="Times New Roman"/>
          <w:b/>
          <w:bCs/>
          <w:color w:val="auto"/>
          <w:highlight w:val="yellow"/>
          <w:lang w:eastAsia="cs-CZ" w:bidi="ar-SA"/>
        </w:rPr>
        <w:t>……</w:t>
      </w:r>
      <w:r w:rsidRPr="00B444A8">
        <w:rPr>
          <w:rFonts w:ascii="Cambria" w:eastAsia="Times New Roman" w:hAnsi="Cambria" w:cs="Times New Roman"/>
          <w:b/>
          <w:bCs/>
          <w:color w:val="auto"/>
          <w:lang w:eastAsia="cs-CZ" w:bidi="ar-SA"/>
        </w:rPr>
        <w:tab/>
      </w:r>
      <w:r>
        <w:rPr>
          <w:rFonts w:ascii="Cambria" w:eastAsia="Times New Roman" w:hAnsi="Cambria" w:cs="Times New Roman"/>
          <w:b/>
          <w:bCs/>
          <w:color w:val="auto"/>
          <w:lang w:eastAsia="cs-CZ" w:bidi="ar-SA"/>
        </w:rPr>
        <w:tab/>
      </w:r>
      <w:proofErr w:type="spellStart"/>
      <w:r w:rsidRPr="00B444A8">
        <w:rPr>
          <w:rFonts w:ascii="Cambria" w:eastAsia="Times New Roman" w:hAnsi="Cambria" w:cs="Times New Roman"/>
          <w:b/>
          <w:bCs/>
          <w:color w:val="auto"/>
          <w:lang w:eastAsia="cs-CZ" w:bidi="ar-SA"/>
        </w:rPr>
        <w:t>ExpertaLabs</w:t>
      </w:r>
      <w:proofErr w:type="spellEnd"/>
      <w:r w:rsidRPr="00B444A8">
        <w:rPr>
          <w:rFonts w:ascii="Cambria" w:eastAsia="Times New Roman" w:hAnsi="Cambria" w:cs="Times New Roman"/>
          <w:b/>
          <w:bCs/>
          <w:color w:val="auto"/>
          <w:lang w:eastAsia="cs-CZ" w:bidi="ar-SA"/>
        </w:rPr>
        <w:t>, s.r.o.</w:t>
      </w:r>
    </w:p>
    <w:p w14:paraId="675688F5" w14:textId="1D673DE2" w:rsidR="00B444A8" w:rsidRPr="00B444A8" w:rsidRDefault="00B444A8" w:rsidP="00B444A8">
      <w:pPr>
        <w:widowControl/>
        <w:tabs>
          <w:tab w:val="left" w:pos="4536"/>
        </w:tabs>
        <w:suppressAutoHyphens w:val="0"/>
        <w:rPr>
          <w:rFonts w:ascii="Cambria" w:eastAsia="Times New Roman" w:hAnsi="Cambria" w:cs="Times New Roman"/>
          <w:b/>
          <w:color w:val="auto"/>
          <w:lang w:eastAsia="cs-CZ" w:bidi="ar-SA"/>
        </w:rPr>
      </w:pPr>
      <w:r w:rsidRPr="00B444A8">
        <w:rPr>
          <w:rFonts w:ascii="Cambria" w:eastAsia="Times New Roman" w:hAnsi="Cambria" w:cs="Times New Roman"/>
          <w:color w:val="auto"/>
          <w:lang w:eastAsia="cs-CZ" w:bidi="ar-SA"/>
        </w:rPr>
        <w:tab/>
      </w:r>
      <w:r>
        <w:rPr>
          <w:rFonts w:ascii="Cambria" w:eastAsia="Times New Roman" w:hAnsi="Cambria" w:cs="Times New Roman"/>
          <w:color w:val="auto"/>
          <w:lang w:eastAsia="cs-CZ" w:bidi="ar-SA"/>
        </w:rPr>
        <w:tab/>
      </w:r>
      <w:r w:rsidRPr="00B444A8">
        <w:rPr>
          <w:rFonts w:ascii="Cambria" w:eastAsia="Times New Roman" w:hAnsi="Cambria" w:cs="Times New Roman"/>
          <w:color w:val="auto"/>
          <w:lang w:eastAsia="cs-CZ" w:bidi="ar-SA"/>
        </w:rPr>
        <w:t>Miloš Ohlídal, jednatel</w:t>
      </w:r>
    </w:p>
    <w:p w14:paraId="2D9431EB" w14:textId="77777777" w:rsidR="00B444A8" w:rsidRPr="00321F99" w:rsidRDefault="00B444A8" w:rsidP="00321F99">
      <w:pPr>
        <w:pStyle w:val="Zkladntext"/>
        <w:jc w:val="both"/>
        <w:rPr>
          <w:rFonts w:ascii="Cambria" w:hAnsi="Cambria"/>
        </w:rPr>
      </w:pPr>
    </w:p>
    <w:sectPr w:rsidR="00B444A8" w:rsidRPr="00321F99" w:rsidSect="005B25FC">
      <w:pgSz w:w="12240" w:h="15840"/>
      <w:pgMar w:top="567" w:right="567" w:bottom="1135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676"/>
    <w:multiLevelType w:val="multilevel"/>
    <w:tmpl w:val="D28AAC46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34C7EF9"/>
    <w:multiLevelType w:val="multilevel"/>
    <w:tmpl w:val="D5A8341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28502D0F"/>
    <w:multiLevelType w:val="multilevel"/>
    <w:tmpl w:val="AC5CF69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36D12C34"/>
    <w:multiLevelType w:val="hybridMultilevel"/>
    <w:tmpl w:val="FFFFFFFF"/>
    <w:lvl w:ilvl="0" w:tplc="E6EA60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trike w:val="0"/>
        <w:color w:val="auto"/>
      </w:rPr>
    </w:lvl>
    <w:lvl w:ilvl="1" w:tplc="09A0A5F2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A3043A0E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75E41C4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5868EC4C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9DCAE7A4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1C3A35C4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05BC73BA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3E5804A4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4" w15:restartNumberingAfterBreak="0">
    <w:nsid w:val="36E22F1B"/>
    <w:multiLevelType w:val="multilevel"/>
    <w:tmpl w:val="C92414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3D5650F2"/>
    <w:multiLevelType w:val="multilevel"/>
    <w:tmpl w:val="3572A7D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3E5F0A41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6236DB9"/>
    <w:multiLevelType w:val="multilevel"/>
    <w:tmpl w:val="5C6273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494A6828"/>
    <w:multiLevelType w:val="multilevel"/>
    <w:tmpl w:val="171296B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 w15:restartNumberingAfterBreak="0">
    <w:nsid w:val="4B9424CC"/>
    <w:multiLevelType w:val="multilevel"/>
    <w:tmpl w:val="CB7E28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DD3619C"/>
    <w:multiLevelType w:val="multilevel"/>
    <w:tmpl w:val="E5B0303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52670373"/>
    <w:multiLevelType w:val="multilevel"/>
    <w:tmpl w:val="0B62EDC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2" w15:restartNumberingAfterBreak="0">
    <w:nsid w:val="56622A45"/>
    <w:multiLevelType w:val="multilevel"/>
    <w:tmpl w:val="8B384C1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3" w15:restartNumberingAfterBreak="0">
    <w:nsid w:val="58AE5EA2"/>
    <w:multiLevelType w:val="multilevel"/>
    <w:tmpl w:val="6DACBE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4" w15:restartNumberingAfterBreak="0">
    <w:nsid w:val="5BC67F2C"/>
    <w:multiLevelType w:val="multilevel"/>
    <w:tmpl w:val="0464C39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5" w15:restartNumberingAfterBreak="0">
    <w:nsid w:val="6E0A472D"/>
    <w:multiLevelType w:val="multilevel"/>
    <w:tmpl w:val="A6B8895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6" w15:restartNumberingAfterBreak="0">
    <w:nsid w:val="6E895989"/>
    <w:multiLevelType w:val="multilevel"/>
    <w:tmpl w:val="38BA9FE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1897736877">
    <w:abstractNumId w:val="12"/>
  </w:num>
  <w:num w:numId="2" w16cid:durableId="90859503">
    <w:abstractNumId w:val="5"/>
  </w:num>
  <w:num w:numId="3" w16cid:durableId="1193151889">
    <w:abstractNumId w:val="15"/>
  </w:num>
  <w:num w:numId="4" w16cid:durableId="1682734731">
    <w:abstractNumId w:val="4"/>
  </w:num>
  <w:num w:numId="5" w16cid:durableId="1617173754">
    <w:abstractNumId w:val="8"/>
  </w:num>
  <w:num w:numId="6" w16cid:durableId="1553273079">
    <w:abstractNumId w:val="1"/>
  </w:num>
  <w:num w:numId="7" w16cid:durableId="733356277">
    <w:abstractNumId w:val="14"/>
  </w:num>
  <w:num w:numId="8" w16cid:durableId="1324041124">
    <w:abstractNumId w:val="0"/>
  </w:num>
  <w:num w:numId="9" w16cid:durableId="1513564843">
    <w:abstractNumId w:val="16"/>
  </w:num>
  <w:num w:numId="10" w16cid:durableId="1234467585">
    <w:abstractNumId w:val="13"/>
  </w:num>
  <w:num w:numId="11" w16cid:durableId="185950513">
    <w:abstractNumId w:val="11"/>
  </w:num>
  <w:num w:numId="12" w16cid:durableId="123892851">
    <w:abstractNumId w:val="7"/>
  </w:num>
  <w:num w:numId="13" w16cid:durableId="1652639814">
    <w:abstractNumId w:val="2"/>
  </w:num>
  <w:num w:numId="14" w16cid:durableId="918176298">
    <w:abstractNumId w:val="10"/>
  </w:num>
  <w:num w:numId="15" w16cid:durableId="1109932650">
    <w:abstractNumId w:val="9"/>
  </w:num>
  <w:num w:numId="16" w16cid:durableId="290018531">
    <w:abstractNumId w:val="3"/>
  </w:num>
  <w:num w:numId="17" w16cid:durableId="1513644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813"/>
    <w:rsid w:val="000341C8"/>
    <w:rsid w:val="001039E4"/>
    <w:rsid w:val="001B7454"/>
    <w:rsid w:val="00321F99"/>
    <w:rsid w:val="0048491F"/>
    <w:rsid w:val="004E4813"/>
    <w:rsid w:val="005B25FC"/>
    <w:rsid w:val="008075A0"/>
    <w:rsid w:val="00A22B51"/>
    <w:rsid w:val="00A33603"/>
    <w:rsid w:val="00B444A8"/>
    <w:rsid w:val="00B5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84E4"/>
  <w15:docId w15:val="{D01473C4-3B39-45BD-9F19-4B1C34BE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Odstavecseseznamem">
    <w:name w:val="List Paragraph"/>
    <w:basedOn w:val="Normln"/>
    <w:uiPriority w:val="34"/>
    <w:qFormat/>
    <w:rsid w:val="00B444A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1566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Lukáš Kuchta</cp:lastModifiedBy>
  <cp:revision>4</cp:revision>
  <dcterms:created xsi:type="dcterms:W3CDTF">2026-01-21T10:47:00Z</dcterms:created>
  <dcterms:modified xsi:type="dcterms:W3CDTF">2026-01-26T19:02:00Z</dcterms:modified>
  <dc:language>cs-CZ</dc:language>
</cp:coreProperties>
</file>