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3" w:rsidRPr="00666322" w:rsidRDefault="00743BA2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 w:rsidRPr="00666322">
        <w:rPr>
          <w:rFonts w:ascii="Cambria" w:hAnsi="Cambria" w:cs="Poppins"/>
          <w:b/>
          <w:bCs/>
          <w:sz w:val="32"/>
          <w:szCs w:val="32"/>
        </w:rPr>
        <w:t xml:space="preserve">IROP2 –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cíle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:rsidR="007D09D2" w:rsidRDefault="007D09D2" w:rsidP="00410599">
      <w:pPr>
        <w:jc w:val="both"/>
        <w:rPr>
          <w:rFonts w:ascii="Cambria" w:hAnsi="Cambria" w:cs="Poppins"/>
        </w:rPr>
      </w:pPr>
    </w:p>
    <w:p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IROP v souvislosti se specifiky této výzvy upozorňuje především na nutnost dodržet následující parametry, pokud jsou pro projekt relevantní: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</w:t>
      </w:r>
      <w:proofErr w:type="spellStart"/>
      <w:r w:rsidRPr="00067F2C">
        <w:rPr>
          <w:rFonts w:ascii="Cambria" w:hAnsi="Cambria" w:cs="Poppins"/>
        </w:rPr>
        <w:t>brownfield</w:t>
      </w:r>
      <w:proofErr w:type="spellEnd"/>
      <w:r w:rsidRPr="00067F2C">
        <w:rPr>
          <w:rFonts w:ascii="Cambria" w:hAnsi="Cambria" w:cs="Poppins"/>
        </w:rPr>
        <w:t>), bylo na staveništi provedeno šetření na potenciální kontaminující látky, například podle normy ISO 18400.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 xml:space="preserve">Nová budova není postavena </w:t>
      </w:r>
      <w:proofErr w:type="gramStart"/>
      <w:r w:rsidRPr="00067F2C">
        <w:rPr>
          <w:rFonts w:ascii="Cambria" w:hAnsi="Cambria" w:cs="Poppins"/>
        </w:rPr>
        <w:t>na</w:t>
      </w:r>
      <w:proofErr w:type="gramEnd"/>
      <w:r w:rsidRPr="00067F2C">
        <w:rPr>
          <w:rFonts w:ascii="Cambria" w:hAnsi="Cambria" w:cs="Poppins"/>
        </w:rPr>
        <w:t>:</w:t>
      </w:r>
    </w:p>
    <w:p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orné půdě a zemědělské půdě se střední až vysokou úrovní úrodnosti a podzemní biologické rozmanitosti podle průzkumu EU LUCAS</w:t>
      </w:r>
    </w:p>
    <w:p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 w:rsidSect="000D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8D3"/>
    <w:rsid w:val="00067F2C"/>
    <w:rsid w:val="000B7C53"/>
    <w:rsid w:val="000D4299"/>
    <w:rsid w:val="000F78D3"/>
    <w:rsid w:val="00166F04"/>
    <w:rsid w:val="003C32AA"/>
    <w:rsid w:val="00410599"/>
    <w:rsid w:val="004A3633"/>
    <w:rsid w:val="005C68F5"/>
    <w:rsid w:val="00623537"/>
    <w:rsid w:val="00666322"/>
    <w:rsid w:val="00743BA2"/>
    <w:rsid w:val="00771DED"/>
    <w:rsid w:val="007D09D2"/>
    <w:rsid w:val="00A16935"/>
    <w:rsid w:val="00D23BFA"/>
    <w:rsid w:val="00E15164"/>
    <w:rsid w:val="00EC3647"/>
    <w:rsid w:val="00ED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Josef Kudrna</cp:lastModifiedBy>
  <cp:revision>2</cp:revision>
  <dcterms:created xsi:type="dcterms:W3CDTF">2024-10-03T09:30:00Z</dcterms:created>
  <dcterms:modified xsi:type="dcterms:W3CDTF">2024-10-03T09:30:00Z</dcterms:modified>
</cp:coreProperties>
</file>